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ptos Display" w:hAnsi="Aptos Display"/>
          <w:b/>
          <w:color w:val="12334C"/>
          <w:sz w:val="48"/>
        </w:rPr>
        <w:t>CUSTOMER JOURNEY MAP</w:t>
      </w:r>
    </w:p>
    <w:p>
      <w:pPr>
        <w:spacing w:after="40"/>
      </w:pPr>
      <w:r>
        <w:rPr>
          <w:b/>
          <w:color w:val="215771"/>
          <w:sz w:val="32"/>
        </w:rPr>
        <w:t>Automated Network Request Management</w:t>
      </w:r>
    </w:p>
    <w:p>
      <w:pPr>
        <w:spacing w:after="160"/>
      </w:pPr>
      <w:r>
        <w:rPr>
          <w:sz w:val="18"/>
        </w:rPr>
        <w:t>ServiceNow  |  Enhanced journey view  |  Date: 02-10-2026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2"/>
        <w:gridCol w:w="4562"/>
        <w:gridCol w:w="4562"/>
        <w:gridCol w:w="4562"/>
        <w:gridCol w:w="4562"/>
      </w:tblGrid>
      <w:tr>
        <w:tc>
          <w:tcPr>
            <w:tcW w:type="dxa" w:w="4464"/>
            <w:shd w:fill="DDEB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ENTICE</w:t>
            </w:r>
          </w:p>
        </w:tc>
        <w:tc>
          <w:tcPr>
            <w:tcW w:type="dxa" w:w="4464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ENTER</w:t>
            </w:r>
          </w:p>
        </w:tc>
        <w:tc>
          <w:tcPr>
            <w:tcW w:type="dxa" w:w="4464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ENGAGE</w:t>
            </w:r>
          </w:p>
        </w:tc>
        <w:tc>
          <w:tcPr>
            <w:tcW w:type="dxa" w:w="4464"/>
            <w:shd w:fill="FCE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EXIT</w:t>
            </w:r>
          </w:p>
        </w:tc>
        <w:tc>
          <w:tcPr>
            <w:tcW w:type="dxa" w:w="4464"/>
            <w:shd w:fill="E4DF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EXTEND</w:t>
            </w:r>
          </w:p>
        </w:tc>
      </w:tr>
      <w:tr>
        <w:tc>
          <w:tcPr>
            <w:tcW w:type="dxa" w:w="4464"/>
            <w:shd w:fill="F8F9F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555555"/>
                <w:sz w:val="14"/>
              </w:rPr>
              <w:t>Become aware of the need</w:t>
            </w:r>
          </w:p>
        </w:tc>
        <w:tc>
          <w:tcPr>
            <w:tcW w:type="dxa" w:w="4464"/>
            <w:shd w:fill="F8F9F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555555"/>
                <w:sz w:val="14"/>
              </w:rPr>
              <w:t>Find and configure the service</w:t>
            </w:r>
          </w:p>
        </w:tc>
        <w:tc>
          <w:tcPr>
            <w:tcW w:type="dxa" w:w="4464"/>
            <w:shd w:fill="F8F9F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555555"/>
                <w:sz w:val="14"/>
              </w:rPr>
              <w:t>Submit, approve, fulfil and communicate</w:t>
            </w:r>
          </w:p>
        </w:tc>
        <w:tc>
          <w:tcPr>
            <w:tcW w:type="dxa" w:w="4464"/>
            <w:shd w:fill="F8F9F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555555"/>
                <w:sz w:val="14"/>
              </w:rPr>
              <w:t>Validate and gain acceptance</w:t>
            </w:r>
          </w:p>
        </w:tc>
        <w:tc>
          <w:tcPr>
            <w:tcW w:type="dxa" w:w="4464"/>
            <w:shd w:fill="F8F9F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555555"/>
                <w:sz w:val="14"/>
              </w:rPr>
              <w:t>Launch, monitor and improve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  <w:gridCol w:w="1901"/>
        <w:gridCol w:w="1901"/>
        <w:gridCol w:w="1901"/>
        <w:gridCol w:w="1901"/>
        <w:gridCol w:w="1901"/>
        <w:gridCol w:w="1901"/>
        <w:gridCol w:w="1901"/>
      </w:tblGrid>
      <w:tr>
        <w:tc>
          <w:tcPr>
            <w:tcW w:type="dxa" w:w="1944"/>
            <w:shd w:fill="163B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JOURNEY DIMENSION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1. Need Identified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2. Service Discovery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3. Request Configuration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4. Submit &amp; Validate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5. Approval &amp; Governance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6. Network Fulfilment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7. Notifications &amp; Status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8. Testing &amp; Validation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9. UAT &amp; Acceptance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10. Production Launch</w:t>
            </w:r>
          </w:p>
        </w:tc>
        <w:tc>
          <w:tcPr>
            <w:tcW w:type="dxa" w:w="1958"/>
            <w:shd w:fill="2D6A8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11. Monitor, Support &amp; Improve</w:t>
            </w:r>
          </w:p>
        </w:tc>
      </w:tr>
      <w:tr>
        <w:tc>
          <w:tcPr>
            <w:tcW w:type="dxa" w:w="1944"/>
            <w:shd w:fill="F2F4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37474F"/>
                <w:sz w:val="14"/>
              </w:rPr>
              <w:t>STEPS / EXPERIENCE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A network service is needed for work, access, connectivity, or a change.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requester enters the Service Portal and explores network services.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requester selects a catalog item and begins providing request details.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requester reviews and submits the request; the platform validates data.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request is routed through the required approval chain.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Approved work is converted into actionable fulfilment tasks.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requester receives updates while the request moves through its lifecycle.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configured journey is tested before release or after a change.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Business and operational stakeholders validate the experience against real scenarios.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Approved configuration is promoted from development toward production.</w:t>
            </w:r>
          </w:p>
        </w:tc>
        <w:tc>
          <w:tcPr>
            <w:tcW w:type="dxa" w:w="1958"/>
            <w:shd w:fill="EAF2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live service is monitored, supported, reviewed, and continuously improved.</w:t>
            </w:r>
          </w:p>
        </w:tc>
      </w:tr>
      <w:tr>
        <w:tc>
          <w:tcPr>
            <w:tcW w:type="dxa" w:w="1944"/>
            <w:shd w:fill="F2F4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37474F"/>
                <w:sz w:val="14"/>
              </w:rPr>
              <w:t>INTERACTIONS</w:t>
            </w:r>
            <w:r>
              <w:br/>
            </w:r>
            <w:r>
              <w:rPr>
                <w:rFonts w:ascii="Aptos" w:hAnsi="Aptos"/>
                <w:b/>
                <w:color w:val="37474F"/>
                <w:sz w:val="14"/>
              </w:rPr>
              <w:t>Things • Places • People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Service Portal / browser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Employee workspace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Requester, service owner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Service Catalog, search, category navigation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Service Portal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Requester, IT service owner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Catalog item, variables, dynamic fields, help text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Service Portal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Requester, IT admin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Validation rules, confirmation, request record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Service Portal / platform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Requester, system automation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Approval record, Flow Designer, email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Platform / approver workspace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Manager, Network Security / designated approver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Fulfilment task, task context, assignment data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Network operations workspace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Network Fulfilment Team, IT admin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Email, portal status, request timeline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Inbox / Service Portal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Requester, fulfilment team, approver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Test scripts, logs, test records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Dev / test environment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Developer, tester, service owner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UAT scenarios, evidence, acceptance record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UAT environment / stakeholder review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Requester representatives, approvers, fulfilment team, IT admin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Deployment checklist, update set / migration package, training material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Production environment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IT admin, release owner, support team</w:t>
            </w:r>
          </w:p>
        </w:tc>
        <w:tc>
          <w:tcPr>
            <w:tcW w:type="dxa" w:w="1958"/>
            <w:shd w:fill="DFF3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Things: Metrics, dashboards, feedback, audit data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Places: Production / support channels</w:t>
            </w:r>
            <w:r>
              <w:br/>
            </w:r>
            <w:r>
              <w:rPr>
                <w:rFonts w:ascii="Aptos" w:hAnsi="Aptos"/>
                <w:b w:val="0"/>
                <w:color w:val="333333"/>
                <w:sz w:val="12"/>
              </w:rPr>
              <w:t>People: Support, IT admin, service owner, users</w:t>
            </w:r>
          </w:p>
        </w:tc>
      </w:tr>
      <w:tr>
        <w:tc>
          <w:tcPr>
            <w:tcW w:type="dxa" w:w="1944"/>
            <w:shd w:fill="F2F4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37474F"/>
                <w:sz w:val="14"/>
              </w:rPr>
              <w:t>GOALS &amp; MOTIVATIONS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Employee / team identifies a network need and considers whether a request is required.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Service Portal → Service Catalog → Network Services category.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Catalog item form; variables; dynamic show/hide behaviour.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Submit action → validation → request/record creation.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Flow Designer approval logic; manager/security approver; email notifications; audit trail.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Flow Designer → fulfilment task → Network Fulfilment Team.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Email notifications; portal status; request/approval/task updates.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Unit tests; end-to-end simulations; approval/task/notification checks; data validation.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Stakeholder UAT; representative request scenarios; acceptance criteria.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Deployment checklist; Dev → Prod migration; release/change controls; training.</w:t>
            </w:r>
          </w:p>
        </w:tc>
        <w:tc>
          <w:tcPr>
            <w:tcW w:type="dxa" w:w="1958"/>
            <w:shd w:fill="FFF4D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Platform monitoring; request metrics; support channels; feedback; audit/reporting.</w:t>
            </w:r>
          </w:p>
        </w:tc>
      </w:tr>
      <w:tr>
        <w:tc>
          <w:tcPr>
            <w:tcW w:type="dxa" w:w="1944"/>
            <w:shd w:fill="F2F4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37474F"/>
                <w:sz w:val="14"/>
              </w:rPr>
              <w:t>POSITIVE MOMENTS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need is recognized with a clear starting point.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right service is easy to discover.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form feels relevant and guided.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Submission succeeds with immediate confirmation.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Approval ownership is clear and traceable.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fulfilment team receives complete, actionable context.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requester can see progress without chasing.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Defects are found before production impact.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Stakeholders can validate realistic scenarios.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Launch is controlled and prepared.</w:t>
            </w:r>
          </w:p>
        </w:tc>
        <w:tc>
          <w:tcPr>
            <w:tcW w:type="dxa" w:w="1958"/>
            <w:shd w:fill="E2F0D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The service becomes measurable and improvable.</w:t>
            </w:r>
          </w:p>
        </w:tc>
      </w:tr>
      <w:tr>
        <w:tc>
          <w:tcPr>
            <w:tcW w:type="dxa" w:w="1944"/>
            <w:shd w:fill="F2F4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37474F"/>
                <w:sz w:val="14"/>
              </w:rPr>
              <w:t>NEGATIVE MOMENTS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Clear entry point and understandable service purpose.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Relevant catalog category and concise service descriptions.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Only relevant fields are shown; mandatory information is obvious.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Immediate validation and a clear confirmation/reference number.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Correct approver receives a structured request with traceable decision history.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Clear task ownership, complete request data, and standardized execution.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Timely, meaningful updates reduce follow-up calls and uncertainty.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Defects are identified early and corrected systematically.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Stakeholders can validate the complete experience, not just individual components.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Controlled migration, prepared users, and a clear rollback/support plan.</w:t>
            </w:r>
          </w:p>
        </w:tc>
        <w:tc>
          <w:tcPr>
            <w:tcW w:type="dxa" w:w="1958"/>
            <w:shd w:fill="FCE4E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Issues are visible, measurable, and converted into improvement actions.</w:t>
            </w:r>
          </w:p>
        </w:tc>
      </w:tr>
      <w:tr>
        <w:tc>
          <w:tcPr>
            <w:tcW w:type="dxa" w:w="1944"/>
            <w:shd w:fill="F2F4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37474F"/>
                <w:sz w:val="14"/>
              </w:rPr>
              <w:t>AREAS OF OPPORTUNITY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Uncertainty about the correct request path or terminology.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Too many choices or unclear categories can cause wrong selections.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Long forms, unclear fields, or missing guidance create rework.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Incomplete or inconsistent data can trigger clarification and delay.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Approval ambiguity, missed notifications, or manual routing can delay fulfilment.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Manual handoffs, unclear ownership, or incomplete data can cause rework.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Silence or overly technical messages make status difficult to understand.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Uncovered edge cases can create failures after release.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Late feedback or unclear acceptance criteria can extend delivery time.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Configuration gaps or unprepared teams can create launch friction.</w:t>
            </w:r>
          </w:p>
        </w:tc>
        <w:tc>
          <w:tcPr>
            <w:tcW w:type="dxa" w:w="1958"/>
            <w:shd w:fill="FFF2CC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333333"/>
                <w:sz w:val="12"/>
              </w:rPr>
              <w:t>Untracked defects, weak metrics, or feedback gaps can hide recurring problems.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12334C"/>
          <w:sz w:val="40"/>
        </w:rPr>
        <w:t>ENHANCED JOURNEY INTELLIGENCE</w:t>
      </w:r>
    </w:p>
    <w:p>
      <w:pPr>
        <w:spacing w:after="160"/>
      </w:pPr>
      <w:r>
        <w:t>The reference map is extended with a backstage ServiceNow layer and measurable journey outcomes so the customer experience can be connected directly to platform configuration and delivery.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02"/>
        <w:gridCol w:w="5702"/>
        <w:gridCol w:w="5702"/>
        <w:gridCol w:w="5702"/>
      </w:tblGrid>
      <w:tr>
        <w:tc>
          <w:tcPr>
            <w:tcW w:type="dxa" w:w="5702"/>
            <w:shd w:fill="163B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JOURNEY STAGE</w:t>
            </w:r>
          </w:p>
        </w:tc>
        <w:tc>
          <w:tcPr>
            <w:tcW w:type="dxa" w:w="5702"/>
            <w:shd w:fill="163B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BACKSTAGE SERVICENOW EXPERIENCE</w:t>
            </w:r>
          </w:p>
        </w:tc>
        <w:tc>
          <w:tcPr>
            <w:tcW w:type="dxa" w:w="5702"/>
            <w:shd w:fill="163B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OWNER / HANDOFF</w:t>
            </w:r>
          </w:p>
        </w:tc>
        <w:tc>
          <w:tcPr>
            <w:tcW w:type="dxa" w:w="5702"/>
            <w:shd w:fill="163B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SUCCESS SIGNAL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1. Need Identified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Catalog taxonomy and request entry are prepared.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Requester / Service Owner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Correct entry point is discoverable.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2. Service Discovery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Catalog item content and taxonomy guide correct service selection.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Requester / IT Service Owner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Correct catalog item selected.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3. Request Configuration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Variable design creates structured data for automation.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Requester / IT Admin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Required data captured with minimal friction.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4. Submit &amp; Validate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Validation protects downstream workflow quality.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Requester / Platform Automation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Valid request created without rework.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5. Approval &amp; Governance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Flow Designer evaluates approval rules and records decisions.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Approver / IT Admin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Decision recorded with audit evidence.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6. Network Fulfilment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Automation creates/assigns fulfilment work with request context.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Network Fulfilment Team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Task completed with clear ownership.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7. Notifications &amp; Status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Notifications communicate state changes based on lifecycle events.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Requester / Support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Status and notifications are timely.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8. Testing &amp; Validation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Test evidence confirms catalog, approvals, tasks, notifications, and data accuracy.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Developer / Tester / Service Owner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Critical paths pass defined tests.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9. UAT &amp; Acceptance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UAT feedback becomes controlled changes before production.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Stakeholder UAT Group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Acceptance criteria are satisfied.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10. Production Launch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Configuration is migrated and production behaviour is verified.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IT Admin / Release Owner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Production validation succeeds.</w:t>
            </w:r>
          </w:p>
        </w:tc>
      </w:tr>
      <w:tr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11. Monitor, Support &amp; Improve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Operational data and feedback feed continuous improvement.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8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Support / Service Owner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Trend data drives improvement.</w:t>
            </w:r>
          </w:p>
        </w:tc>
      </w:tr>
    </w:tbl>
    <w:p/>
    <w:p>
      <w:r>
        <w:rPr>
          <w:b/>
          <w:color w:val="12334C"/>
          <w:sz w:val="32"/>
        </w:rPr>
        <w:t>JOURNEY-TO-DESIGN BRIDGE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05"/>
        <w:gridCol w:w="11405"/>
      </w:tblGrid>
      <w:tr>
        <w:tc>
          <w:tcPr>
            <w:tcW w:type="dxa" w:w="3744"/>
            <w:shd w:fill="F2F4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Customer experience</w:t>
            </w:r>
          </w:p>
        </w:tc>
        <w:tc>
          <w:tcPr>
            <w:tcW w:type="dxa" w:w="18720"/>
            <w:shd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Simple discovery → guided form → transparent approval → predictable fulfilment → visible status → trusted closure.</w:t>
            </w:r>
          </w:p>
        </w:tc>
      </w:tr>
      <w:tr>
        <w:tc>
          <w:tcPr>
            <w:tcW w:type="dxa" w:w="3744"/>
            <w:shd w:fill="F2F4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ServiceNow design</w:t>
            </w:r>
          </w:p>
        </w:tc>
        <w:tc>
          <w:tcPr>
            <w:tcW w:type="dxa" w:w="18720"/>
            <w:shd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Service Catalog + Variables + Dynamic Behaviours + Validation + Flow Designer + Approvals + Tasks + Notifications + Audit.</w:t>
            </w:r>
          </w:p>
        </w:tc>
      </w:tr>
      <w:tr>
        <w:tc>
          <w:tcPr>
            <w:tcW w:type="dxa" w:w="3744"/>
            <w:shd w:fill="F2F4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Delivery lifecycle</w:t>
            </w:r>
          </w:p>
        </w:tc>
        <w:tc>
          <w:tcPr>
            <w:tcW w:type="dxa" w:w="18720"/>
            <w:shd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Design → Configure → Unit Test → End-to-End Test → UAT → Deploy → Monitor → Improve.</w:t>
            </w:r>
          </w:p>
        </w:tc>
      </w:tr>
      <w:tr>
        <w:tc>
          <w:tcPr>
            <w:tcW w:type="dxa" w:w="3744"/>
            <w:shd w:fill="F2F4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63B52"/>
                <w:sz w:val="16"/>
              </w:rPr>
              <w:t>Evidence to capture</w:t>
            </w:r>
          </w:p>
        </w:tc>
        <w:tc>
          <w:tcPr>
            <w:tcW w:type="dxa" w:w="18720"/>
            <w:shd w:fill="FFFFFF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Request data accuracy, approval routing, task creation, notification delivery, defect results, UAT evidence, production validation, operational metrics.</w:t>
            </w:r>
          </w:p>
        </w:tc>
      </w:tr>
    </w:tbl>
    <w:p/>
    <w:p>
      <w:r>
        <w:rPr>
          <w:b/>
          <w:color w:val="12334C"/>
          <w:sz w:val="32"/>
        </w:rPr>
        <w:t>MAP OUTCOME</w:t>
      </w:r>
    </w:p>
    <w:p>
      <w:pPr>
        <w:spacing w:after="80"/>
      </w:pPr>
      <w:r>
        <w:t>The journey is designed as a continuous ServiceNow experience rather than a collection of isolated configuration steps. Each customer-facing moment has a corresponding platform behaviour, ownership handoff, and opportunity for measurable improvement.</w:t>
      </w:r>
    </w:p>
    <w:p>
      <w:r>
        <w:rPr>
          <w:i/>
          <w:color w:val="646464"/>
          <w:sz w:val="16"/>
        </w:rPr>
        <w:t>Reference alignment: the uploaded example uses a journey-board structure built around Steps, Interactions, Goals &amp; Motivations, Positive Moments, Negative Moments, Areas of Opportunity, and an Enter/Engage/Exit/Extend progression. This document keeps that underlying logic while adapting and extending it for the Automated Network Request Management project.</w:t>
      </w:r>
    </w:p>
    <w:sectPr w:rsidR="00FC693F" w:rsidRPr="0006063C" w:rsidSect="00034616">
      <w:pgSz w:w="23818" w:h="16834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