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w:t>
      </w:r>
    </w:p>
    <w:p>
      <w:pPr>
        <w:jc w:val="center"/>
      </w:pPr>
      <w:r>
        <w:rPr>
          <w:b/>
          <w:sz w:val="28"/>
        </w:rPr>
        <w:t>Proposed Solution Template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Date</w:t>
            </w:r>
          </w:p>
        </w:tc>
        <w:tc>
          <w:tcPr>
            <w:tcW w:type="dxa" w:w="5112"/>
            <w:vAlign w:val="center"/>
          </w:tcPr>
          <w:p>
            <w:r>
              <w:t>02 October 2026</w:t>
            </w:r>
          </w:p>
        </w:tc>
      </w:tr>
      <w:tr>
        <w:tc>
          <w:tcPr>
            <w:tcW w:type="dxa" w:w="5112"/>
            <w:shd w:fill="D9EAF7"/>
            <w:vAlign w:val="center"/>
          </w:tcPr>
          <w:p>
            <w:r>
              <w:rPr>
                <w:b/>
              </w:rPr>
              <w:t>Project Name</w:t>
            </w:r>
          </w:p>
        </w:tc>
        <w:tc>
          <w:tcPr>
            <w:tcW w:type="dxa" w:w="5112"/>
            <w:vAlign w:val="center"/>
          </w:tcPr>
          <w:p>
            <w:r>
              <w:t>Automated Network Request Management in ServiceNow</w:t>
            </w:r>
          </w:p>
        </w:tc>
      </w:tr>
      <w:tr>
        <w:tc>
          <w:tcPr>
            <w:tcW w:type="dxa" w:w="5112"/>
            <w:shd w:fill="D9EAF7"/>
            <w:vAlign w:val="center"/>
          </w:tcPr>
          <w:p>
            <w:r>
              <w:rPr>
                <w:b/>
              </w:rPr>
              <w:t>Maximum Marks</w:t>
            </w:r>
          </w:p>
        </w:tc>
        <w:tc>
          <w:tcPr>
            <w:tcW w:type="dxa" w:w="5112"/>
            <w:vAlign w:val="center"/>
          </w:tcPr>
          <w:p>
            <w:r>
              <w:t>2 Marks</w:t>
            </w:r>
          </w:p>
        </w:tc>
      </w:tr>
    </w:tbl>
    <w:p/>
    <w:p>
      <w:r>
        <w:rPr>
          <w:b/>
          <w:sz w:val="24"/>
        </w:rPr>
        <w:t>Proposed Solution Template</w:t>
      </w:r>
    </w:p>
    <w:p>
      <w:r>
        <w:t>The proposed solution summarizes how the Automated Network Request Management solution addresses network-service request handling problems through a structured ServiceNow catalog, automated workflow, approval processing, operational record management, and request notifications.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Pr>
          <w:p>
            <w:r>
              <w:rPr>
                <w:b/>
                <w:color w:val="FFFFFF"/>
              </w:rPr>
              <w:t>S.No.</w:t>
            </w:r>
          </w:p>
        </w:tc>
        <w:tc>
          <w:tcPr>
            <w:tcW w:type="dxa" w:w="3408"/>
            <w:shd w:fill="1F4E78"/>
          </w:tcPr>
          <w:p>
            <w:r>
              <w:rPr>
                <w:b/>
                <w:color w:val="FFFFFF"/>
              </w:rPr>
              <w:t>Parameter</w:t>
            </w:r>
          </w:p>
        </w:tc>
        <w:tc>
          <w:tcPr>
            <w:tcW w:type="dxa" w:w="3408"/>
            <w:shd w:fill="1F4E78"/>
          </w:tcPr>
          <w:p>
            <w:r>
              <w:rPr>
                <w:b/>
                <w:color w:val="FFFFFF"/>
              </w:rPr>
              <w:t>Description</w:t>
            </w:r>
          </w:p>
        </w:tc>
      </w:tr>
      <w:tr>
        <w:tc>
          <w:tcPr>
            <w:tcW w:type="dxa" w:w="3408"/>
            <w:vAlign w:val="center"/>
          </w:tcPr>
          <w:p>
            <w:r>
              <w:t>1</w:t>
            </w:r>
          </w:p>
        </w:tc>
        <w:tc>
          <w:tcPr>
            <w:tcW w:type="dxa" w:w="3408"/>
          </w:tcPr>
          <w:p>
            <w:r>
              <w:rPr>
                <w:b/>
              </w:rPr>
              <w:t>Problem Statement (Problem to be solved)</w:t>
            </w:r>
          </w:p>
        </w:tc>
        <w:tc>
          <w:tcPr>
            <w:tcW w:type="dxa" w:w="3408"/>
          </w:tcPr>
          <w:p>
            <w:r>
              <w:t>Network service requests can require repeated manual handling, incomplete or inconsistent request information, separate approval follow-up, and limited visibility across the request lifecycle. IT administrators and network fulfilment teams need a centralized process that captures the required information, routes requests for approval, records the operational details, and keeps stakeholders informed. The problem is therefore to provide a structured and automated ServiceNow-based request workflow that reduces manual effort and improves consistency, traceability, and request visibility.</w:t>
            </w:r>
          </w:p>
        </w:tc>
      </w:tr>
      <w:tr>
        <w:tc>
          <w:tcPr>
            <w:tcW w:type="dxa" w:w="3408"/>
            <w:vAlign w:val="center"/>
          </w:tcPr>
          <w:p>
            <w:r>
              <w:t>2</w:t>
            </w:r>
          </w:p>
        </w:tc>
        <w:tc>
          <w:tcPr>
            <w:tcW w:type="dxa" w:w="3408"/>
          </w:tcPr>
          <w:p>
            <w:r>
              <w:rPr>
                <w:b/>
              </w:rPr>
              <w:t>Idea / Solution description</w:t>
            </w:r>
          </w:p>
        </w:tc>
        <w:tc>
          <w:tcPr>
            <w:tcW w:type="dxa" w:w="3408"/>
          </w:tcPr>
          <w:p>
            <w:r>
              <w:t>Develop an Automated Network Request Management solution on ServiceNow. Users submit a Network Request through the Service Catalog under Networks and Connectivity using structured request variables. The solution captures requester and network-service information, applies form behaviour through a Catalog UI Policy, creates the corresponding request/RITM context and an operational record in the configured Database Tables table, and uses Flow Designer to orchestrate notifications and approval processing. The approval outcome controls the subsequent workflow path, while ACLs and roles support controlled access to the operational data.</w:t>
            </w:r>
          </w:p>
        </w:tc>
      </w:tr>
      <w:tr>
        <w:tc>
          <w:tcPr>
            <w:tcW w:type="dxa" w:w="3408"/>
            <w:vAlign w:val="center"/>
          </w:tcPr>
          <w:p>
            <w:r>
              <w:t>3</w:t>
            </w:r>
          </w:p>
        </w:tc>
        <w:tc>
          <w:tcPr>
            <w:tcW w:type="dxa" w:w="3408"/>
          </w:tcPr>
          <w:p>
            <w:r>
              <w:rPr>
                <w:b/>
              </w:rPr>
              <w:t>Novelty / Uniqueness</w:t>
            </w:r>
          </w:p>
        </w:tc>
        <w:tc>
          <w:tcPr>
            <w:tcW w:type="dxa" w:w="3408"/>
          </w:tcPr>
          <w:p>
            <w:r>
              <w:t>The solution focuses on connecting the complete network-request handoff chain rather than treating the catalog form, approval, and fulfilment record as separate activities. Its distinctive approach is a configuration-first ServiceNow workflow that combines guided data capture, variable retrieval, operational-record creation, approval branching, automated notifications, and traceable request lifecycle stages. This reduces unnecessary custom development while keeping the workflow understandable and maintainable for ServiceNow administrators.</w:t>
            </w:r>
          </w:p>
        </w:tc>
      </w:tr>
      <w:tr>
        <w:tc>
          <w:tcPr>
            <w:tcW w:type="dxa" w:w="3408"/>
            <w:vAlign w:val="center"/>
          </w:tcPr>
          <w:p>
            <w:r>
              <w:t>4</w:t>
            </w:r>
          </w:p>
        </w:tc>
        <w:tc>
          <w:tcPr>
            <w:tcW w:type="dxa" w:w="3408"/>
          </w:tcPr>
          <w:p>
            <w:r>
              <w:rPr>
                <w:b/>
              </w:rPr>
              <w:t>Social Impact / Customer Satisfaction</w:t>
            </w:r>
          </w:p>
        </w:tc>
        <w:tc>
          <w:tcPr>
            <w:tcW w:type="dxa" w:w="3408"/>
          </w:tcPr>
          <w:p>
            <w:r>
              <w:t>The solution can improve employee experience by giving requesters a structured self-service method instead of relying on fragmented communication or repeated manual follow-up. Clear fields, guided form behaviour, approval visibility, request identifiers, and automated notifications can reduce uncertainty about request progress. For IT and network teams, standardized information and automated handoffs can reduce repetitive work and help them focus on network-related tasks that require human attention. Centralized records also support more consistent service delivery and auditability.</w:t>
            </w:r>
          </w:p>
        </w:tc>
      </w:tr>
      <w:tr>
        <w:tc>
          <w:tcPr>
            <w:tcW w:type="dxa" w:w="3408"/>
            <w:vAlign w:val="center"/>
          </w:tcPr>
          <w:p>
            <w:r>
              <w:t>5</w:t>
            </w:r>
          </w:p>
        </w:tc>
        <w:tc>
          <w:tcPr>
            <w:tcW w:type="dxa" w:w="3408"/>
          </w:tcPr>
          <w:p>
            <w:r>
              <w:rPr>
                <w:b/>
              </w:rPr>
              <w:t>Business Model (Revenue Model)</w:t>
            </w:r>
          </w:p>
        </w:tc>
        <w:tc>
          <w:tcPr>
            <w:tcW w:type="dxa" w:w="3408"/>
          </w:tcPr>
          <w:p>
            <w:r>
              <w:t>The current project is an academic ServiceNow implementation and does not contain a direct commercial payment or revenue mechanism. For real-world enterprise deployment, the solution could be delivered as a ServiceNow implementation and customization service. Possible revenue models include initial implementation/configuration fees, workflow and catalog customization, annual support and maintenance contracts, integration charges for network-management systems, and optional reporting or analytics modules. Pricing and commercial terms would depend on the organization, scope, and ServiceNow licensing arrangement.</w:t>
            </w:r>
          </w:p>
        </w:tc>
      </w:tr>
      <w:tr>
        <w:tc>
          <w:tcPr>
            <w:tcW w:type="dxa" w:w="3408"/>
            <w:vAlign w:val="center"/>
          </w:tcPr>
          <w:p>
            <w:r>
              <w:t>6</w:t>
            </w:r>
          </w:p>
        </w:tc>
        <w:tc>
          <w:tcPr>
            <w:tcW w:type="dxa" w:w="3408"/>
          </w:tcPr>
          <w:p>
            <w:r>
              <w:rPr>
                <w:b/>
              </w:rPr>
              <w:t>Scalability of the Solution</w:t>
            </w:r>
          </w:p>
        </w:tc>
        <w:tc>
          <w:tcPr>
            <w:tcW w:type="dxa" w:w="3408"/>
          </w:tcPr>
          <w:p>
            <w:r>
              <w:t>The solution is based on configurable ServiceNow components, allowing the workflow to be extended without redesigning the entire application. Additional network request categories, catalog items, variables, approval rules, fulfilment tasks, notifications, roles, and reporting views can be added as requirements grow. Future extensions may include automated network-device or API integrations, SLA and escalation management, advanced dashboards, external messaging channels, and AI-assisted request classification or prioritization. These are future enhancements and are not claimed as part of the current implementation.</w:t>
            </w:r>
          </w:p>
        </w:tc>
      </w:tr>
    </w:tbl>
    <w:p/>
    <w:p>
      <w:r>
        <w:rPr>
          <w:b/>
          <w:sz w:val="24"/>
        </w:rPr>
        <w:t>Implementation Anchors</w:t>
      </w:r>
    </w:p>
    <w:p>
      <w:r>
        <w:t>The following points keep the proposed solution aligned with the current project implementation and avoid claiming features that are only future scope.</w:t>
      </w:r>
    </w:p>
    <w:tbl>
      <w:tblPr>
        <w:tblStyle w:val="TableGrid"/>
        <w:tblW w:type="auto" w:w="0"/>
        <w:jc w:val="center"/>
        <w:tblLook w:firstColumn="1" w:firstRow="1" w:lastColumn="0" w:lastRow="0" w:noHBand="0" w:noVBand="1" w:val="04A0"/>
      </w:tblPr>
      <w:tblGrid>
        <w:gridCol w:w="5112"/>
        <w:gridCol w:w="5112"/>
      </w:tblGrid>
      <w:tr>
        <w:tc>
          <w:tcPr>
            <w:tcW w:type="dxa" w:w="5112"/>
            <w:shd w:fill="5B9BD5"/>
          </w:tcPr>
          <w:p>
            <w:r>
              <w:rPr>
                <w:b/>
                <w:color w:val="FFFFFF"/>
              </w:rPr>
              <w:t>Area</w:t>
            </w:r>
          </w:p>
        </w:tc>
        <w:tc>
          <w:tcPr>
            <w:tcW w:type="dxa" w:w="5112"/>
            <w:shd w:fill="5B9BD5"/>
          </w:tcPr>
          <w:p>
            <w:r>
              <w:rPr>
                <w:b/>
                <w:color w:val="FFFFFF"/>
              </w:rPr>
              <w:t>Current Project Anchor</w:t>
            </w:r>
          </w:p>
        </w:tc>
      </w:tr>
      <w:tr>
        <w:tc>
          <w:tcPr>
            <w:tcW w:type="dxa" w:w="5112"/>
          </w:tcPr>
          <w:p>
            <w:r>
              <w:rPr>
                <w:b/>
              </w:rPr>
              <w:t>Service Catalog</w:t>
            </w:r>
          </w:p>
        </w:tc>
        <w:tc>
          <w:tcPr>
            <w:tcW w:type="dxa" w:w="5112"/>
          </w:tcPr>
          <w:p>
            <w:r>
              <w:t>Network Request catalog item under Networks and Connectivity</w:t>
            </w:r>
          </w:p>
        </w:tc>
      </w:tr>
      <w:tr>
        <w:tc>
          <w:tcPr>
            <w:tcW w:type="dxa" w:w="5112"/>
          </w:tcPr>
          <w:p>
            <w:r>
              <w:rPr>
                <w:b/>
              </w:rPr>
              <w:t>Request data capture</w:t>
            </w:r>
          </w:p>
        </w:tc>
        <w:tc>
          <w:tcPr>
            <w:tcW w:type="dxa" w:w="5112"/>
          </w:tcPr>
          <w:p>
            <w:r>
              <w:t>Nine configured catalog variables, including Requested For, Mobile Number, Type of Connection, Total Amount, Mode of Payment, Address, Database Number, and Request Number</w:t>
            </w:r>
          </w:p>
        </w:tc>
      </w:tr>
      <w:tr>
        <w:tc>
          <w:tcPr>
            <w:tcW w:type="dxa" w:w="5112"/>
          </w:tcPr>
          <w:p>
            <w:r>
              <w:rPr>
                <w:b/>
              </w:rPr>
              <w:t>Form behaviour</w:t>
            </w:r>
          </w:p>
        </w:tc>
        <w:tc>
          <w:tcPr>
            <w:tcW w:type="dxa" w:w="5112"/>
          </w:tcPr>
          <w:p>
            <w:r>
              <w:t>Requester Information variable set and Catalog UI Policy for conditional ID-field visibility</w:t>
            </w:r>
          </w:p>
        </w:tc>
      </w:tr>
      <w:tr>
        <w:tc>
          <w:tcPr>
            <w:tcW w:type="dxa" w:w="5112"/>
          </w:tcPr>
          <w:p>
            <w:r>
              <w:rPr>
                <w:b/>
              </w:rPr>
              <w:t>Automation</w:t>
            </w:r>
          </w:p>
        </w:tc>
        <w:tc>
          <w:tcPr>
            <w:tcW w:type="dxa" w:w="5112"/>
          </w:tcPr>
          <w:p>
            <w:r>
              <w:t>Flow Designer: retrieve catalog variables → create Database Tables record → send creation email → ask for approval → branch on approval result → update record → send resolution email</w:t>
            </w:r>
          </w:p>
        </w:tc>
      </w:tr>
      <w:tr>
        <w:tc>
          <w:tcPr>
            <w:tcW w:type="dxa" w:w="5112"/>
          </w:tcPr>
          <w:p>
            <w:r>
              <w:rPr>
                <w:b/>
              </w:rPr>
              <w:t>Operational record</w:t>
            </w:r>
          </w:p>
        </w:tc>
        <w:tc>
          <w:tcPr>
            <w:tcW w:type="dxa" w:w="5112"/>
          </w:tcPr>
          <w:p>
            <w:r>
              <w:t>Configured custom table: Database Tables (u_database_tables)</w:t>
            </w:r>
          </w:p>
        </w:tc>
      </w:tr>
      <w:tr>
        <w:tc>
          <w:tcPr>
            <w:tcW w:type="dxa" w:w="5112"/>
          </w:tcPr>
          <w:p>
            <w:r>
              <w:rPr>
                <w:b/>
              </w:rPr>
              <w:t>Security</w:t>
            </w:r>
          </w:p>
        </w:tc>
        <w:tc>
          <w:tcPr>
            <w:tcW w:type="dxa" w:w="5112"/>
          </w:tcPr>
          <w:p>
            <w:r>
              <w:t>Create, Read, Write and Delete ACLs configured for the custom table</w:t>
            </w:r>
          </w:p>
        </w:tc>
      </w:tr>
      <w:tr>
        <w:tc>
          <w:tcPr>
            <w:tcW w:type="dxa" w:w="5112"/>
          </w:tcPr>
          <w:p>
            <w:r>
              <w:rPr>
                <w:b/>
              </w:rPr>
              <w:t>Request lifecycle</w:t>
            </w:r>
          </w:p>
        </w:tc>
        <w:tc>
          <w:tcPr>
            <w:tcW w:type="dxa" w:w="5112"/>
          </w:tcPr>
          <w:p>
            <w:r>
              <w:t>Service Catalog submission → REQ/RITM → approval → fulfilment/status stages → closure outcome</w:t>
            </w:r>
          </w:p>
        </w:tc>
      </w:tr>
    </w:tbl>
    <w:p/>
    <w:p>
      <w:r>
        <w:rPr>
          <w:b/>
          <w:sz w:val="24"/>
        </w:rPr>
        <w:t>Scope Boundary</w:t>
      </w:r>
    </w:p>
    <w:p>
      <w:r>
        <w:t>The current solution is centered on ServiceNow configuration and workflow automation. Automated network-device/API changes, external payment or messaging integrations, advanced SLA/escalation, and AI-based classification or prioritization are treated as future extensions rather than current implemented capabilities.</w:t>
      </w:r>
    </w:p>
    <w:p/>
    <w:p>
      <w:pPr>
        <w:jc w:val="center"/>
      </w:pPr>
      <w:r>
        <w:rPr>
          <w:i/>
          <w:sz w:val="18"/>
        </w:rPr>
        <w:t>End of Proposed Solution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