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sz w:val="42"/>
        </w:rPr>
        <w:t>PROPOSED SOLUTION</w:t>
      </w:r>
    </w:p>
    <w:p>
      <w:pPr>
        <w:spacing w:after="40"/>
        <w:jc w:val="center"/>
      </w:pPr>
      <w:r>
        <w:rPr>
          <w:b/>
          <w:sz w:val="24"/>
        </w:rPr>
        <w:t>Automated Network Request Management</w:t>
      </w:r>
    </w:p>
    <w:p>
      <w:pPr>
        <w:spacing w:after="160"/>
        <w:jc w:val="center"/>
      </w:pPr>
      <w:r>
        <w:rPr>
          <w:i/>
          <w:sz w:val="19"/>
        </w:rPr>
        <w:t>Project Design Phase • ServiceNow</w:t>
      </w:r>
    </w:p>
    <w:tbl>
      <w:tblPr>
        <w:tblW w:type="auto" w:w="0"/>
        <w:jc w:val="center"/>
        <w:tblLook w:firstColumn="1" w:firstRow="1" w:lastColumn="0" w:lastRow="0" w:noHBand="0" w:noVBand="1" w:val="04A0"/>
      </w:tblPr>
      <w:tblGrid>
        <w:gridCol w:w="5184"/>
        <w:gridCol w:w="5184"/>
      </w:tblGrid>
      <w:tr>
        <w:tc>
          <w:tcPr>
            <w:tcW w:type="dxa" w:w="5184"/>
            <w:shd w:fill="E7EEF4"/>
            <w:vAlign w:val="top"/>
          </w:tcPr>
          <w:p>
            <w:pPr>
              <w:spacing w:after="40"/>
            </w:pPr>
            <w:r>
              <w:rPr>
                <w:b/>
              </w:rPr>
            </w:r>
            <w:r>
              <w:rPr>
                <w:b/>
                <w:sz w:val="19"/>
              </w:rPr>
              <w:t>Date</w:t>
            </w:r>
          </w:p>
        </w:tc>
        <w:tc>
          <w:tcPr>
            <w:tcW w:type="dxa" w:w="5184"/>
            <w:shd w:fill="FFFFFF"/>
            <w:vAlign w:val="top"/>
          </w:tcPr>
          <w:p>
            <w:pPr>
              <w:spacing w:after="40"/>
            </w:pPr>
            <w:r/>
            <w:r>
              <w:rPr>
                <w:b/>
                <w:sz w:val="19"/>
              </w:rPr>
            </w:r>
          </w:p>
          <w:p>
            <w:pPr>
              <w:spacing w:after="0"/>
            </w:pPr>
            <w:r>
              <w:rPr>
                <w:sz w:val="18"/>
              </w:rPr>
              <w:t>02 October 2026</w:t>
            </w:r>
          </w:p>
        </w:tc>
      </w:tr>
      <w:tr>
        <w:tc>
          <w:tcPr>
            <w:tcW w:type="dxa" w:w="5184"/>
            <w:shd w:fill="E7EEF4"/>
            <w:vAlign w:val="top"/>
          </w:tcPr>
          <w:p>
            <w:pPr>
              <w:spacing w:after="40"/>
            </w:pPr>
            <w:r>
              <w:rPr>
                <w:b/>
              </w:rPr>
            </w:r>
            <w:r>
              <w:rPr>
                <w:b/>
                <w:sz w:val="19"/>
              </w:rPr>
              <w:t>Maximum Marks</w:t>
            </w:r>
          </w:p>
        </w:tc>
        <w:tc>
          <w:tcPr>
            <w:tcW w:type="dxa" w:w="5184"/>
            <w:shd w:fill="FFFFFF"/>
            <w:vAlign w:val="top"/>
          </w:tcPr>
          <w:p>
            <w:pPr>
              <w:spacing w:after="40"/>
            </w:pPr>
            <w:r/>
            <w:r>
              <w:rPr>
                <w:b/>
                <w:sz w:val="19"/>
              </w:rPr>
            </w:r>
          </w:p>
          <w:p>
            <w:pPr>
              <w:spacing w:after="0"/>
            </w:pPr>
            <w:r>
              <w:rPr>
                <w:sz w:val="18"/>
              </w:rPr>
              <w:t>2 Marks</w:t>
            </w:r>
          </w:p>
        </w:tc>
      </w:tr>
    </w:tbl>
    <w:p>
      <w:pPr>
        <w:spacing w:before="120" w:after="120"/>
      </w:pPr>
      <w:r>
        <w:rPr>
          <w:b/>
          <w:sz w:val="26"/>
        </w:rPr>
        <w:t>Proposed Solution Template</w:t>
      </w:r>
    </w:p>
    <w:tbl>
      <w:tblPr>
        <w:tblW w:type="auto" w:w="0"/>
        <w:jc w:val="center"/>
        <w:tblLook w:firstColumn="1" w:firstRow="1" w:lastColumn="0" w:lastRow="0" w:noHBand="0" w:noVBand="1" w:val="04A0"/>
      </w:tblPr>
      <w:tblGrid>
        <w:gridCol w:w="3456"/>
        <w:gridCol w:w="3456"/>
        <w:gridCol w:w="3456"/>
      </w:tblGrid>
      <w:tr>
        <w:tc>
          <w:tcPr>
            <w:tcW w:type="dxa" w:w="3456"/>
            <w:shd w:fill="DCE6F1"/>
            <w:vAlign w:val="top"/>
          </w:tcPr>
          <w:p>
            <w:pPr>
              <w:spacing w:after="40"/>
            </w:pPr>
            <w:r/>
            <w:r>
              <w:rPr>
                <w:b/>
                <w:sz w:val="19"/>
              </w:rPr>
              <w:t>S.No.</w:t>
            </w:r>
          </w:p>
        </w:tc>
        <w:tc>
          <w:tcPr>
            <w:tcW w:type="dxa" w:w="3456"/>
            <w:shd w:fill="DCE6F1"/>
            <w:vAlign w:val="top"/>
          </w:tcPr>
          <w:p>
            <w:pPr>
              <w:spacing w:after="40"/>
            </w:pPr>
            <w:r/>
            <w:r>
              <w:rPr>
                <w:b/>
                <w:sz w:val="19"/>
              </w:rPr>
              <w:t>Parameter</w:t>
            </w:r>
          </w:p>
        </w:tc>
        <w:tc>
          <w:tcPr>
            <w:tcW w:type="dxa" w:w="3456"/>
            <w:shd w:fill="DCE6F1"/>
            <w:vAlign w:val="top"/>
          </w:tcPr>
          <w:p>
            <w:pPr>
              <w:spacing w:after="40"/>
            </w:pPr>
            <w:r/>
            <w:r>
              <w:rPr>
                <w:b/>
                <w:sz w:val="19"/>
              </w:rPr>
              <w:t>Project-Specific Proposed Solution</w:t>
            </w:r>
          </w:p>
        </w:tc>
      </w:tr>
      <w:tr>
        <w:tc>
          <w:tcPr>
            <w:tcW w:type="dxa" w:w="3456"/>
            <w:shd w:fill="FFFFFF"/>
            <w:vAlign w:val="top"/>
          </w:tcPr>
          <w:p>
            <w:pPr>
              <w:spacing w:after="40"/>
            </w:pPr>
            <w:r/>
            <w:r>
              <w:rPr>
                <w:b/>
                <w:sz w:val="19"/>
              </w:rPr>
              <w:t>1.</w:t>
            </w:r>
          </w:p>
        </w:tc>
        <w:tc>
          <w:tcPr>
            <w:tcW w:type="dxa" w:w="3456"/>
            <w:shd w:fill="F7F9FB"/>
            <w:vAlign w:val="top"/>
          </w:tcPr>
          <w:p>
            <w:pPr>
              <w:spacing w:after="40"/>
            </w:pPr>
            <w:r/>
            <w:r>
              <w:rPr>
                <w:b/>
                <w:sz w:val="19"/>
              </w:rPr>
              <w:t>Problem Statement</w:t>
              <w:br/>
              <w:t>(Problem to be solved)</w:t>
            </w:r>
          </w:p>
        </w:tc>
        <w:tc>
          <w:tcPr>
            <w:tcW w:type="dxa" w:w="3456"/>
            <w:shd w:fill="FFFFFF"/>
            <w:vAlign w:val="top"/>
          </w:tcPr>
          <w:p>
            <w:pPr>
              <w:spacing w:after="40"/>
            </w:pPr>
            <w:r/>
            <w:r>
              <w:rPr>
                <w:b/>
                <w:sz w:val="19"/>
              </w:rPr>
            </w:r>
          </w:p>
          <w:p>
            <w:pPr>
              <w:spacing w:after="0"/>
            </w:pPr>
            <w:r>
              <w:rPr>
                <w:sz w:val="18"/>
              </w:rPr>
              <w:t>Network-service requests can involve multiple data fields, stakeholders, approval decisions and fulfilment stages. When these activities are handled through disconnected or manual coordination, request information can be incomplete, approval progress can be unclear, and operational follow-up can require repeated effort. The project addresses this by creating a structured ServiceNow request lifecycle from intake through approval and fulfilment.</w:t>
            </w:r>
          </w:p>
        </w:tc>
      </w:tr>
      <w:tr>
        <w:tc>
          <w:tcPr>
            <w:tcW w:type="dxa" w:w="3456"/>
            <w:shd w:fill="FFFFFF"/>
            <w:vAlign w:val="top"/>
          </w:tcPr>
          <w:p>
            <w:pPr>
              <w:spacing w:after="40"/>
            </w:pPr>
            <w:r/>
            <w:r>
              <w:rPr>
                <w:b/>
                <w:sz w:val="19"/>
              </w:rPr>
              <w:t>2.</w:t>
            </w:r>
          </w:p>
        </w:tc>
        <w:tc>
          <w:tcPr>
            <w:tcW w:type="dxa" w:w="3456"/>
            <w:shd w:fill="F7F9FB"/>
            <w:vAlign w:val="top"/>
          </w:tcPr>
          <w:p>
            <w:pPr>
              <w:spacing w:after="40"/>
            </w:pPr>
            <w:r/>
            <w:r>
              <w:rPr>
                <w:b/>
                <w:sz w:val="19"/>
              </w:rPr>
              <w:t>Idea / Solution description</w:t>
            </w:r>
          </w:p>
        </w:tc>
        <w:tc>
          <w:tcPr>
            <w:tcW w:type="dxa" w:w="3456"/>
            <w:shd w:fill="FFFFFF"/>
            <w:vAlign w:val="top"/>
          </w:tcPr>
          <w:p>
            <w:pPr>
              <w:spacing w:after="40"/>
            </w:pPr>
            <w:r/>
            <w:r>
              <w:rPr>
                <w:b/>
                <w:sz w:val="19"/>
              </w:rPr>
            </w:r>
          </w:p>
          <w:p>
            <w:pPr>
              <w:spacing w:after="0"/>
            </w:pPr>
            <w:r>
              <w:rPr>
                <w:sz w:val="18"/>
              </w:rPr>
              <w:t>Build an Automated Network Request Management solution on ServiceNow using the Service Catalog as the request entry point. The active “Network Request” catalog item is placed under “Networks and Connectivity” and captures structured requester and service information through configured catalog variables. The solution connects request creation with a custom operational record, approval handling, lifecycle/status tracking and fulfilment-oriented progression. The current implementation also includes a Requester Information variable set, a Catalog UI Policy for ID-field visibility, access controls on the operational table, and ServiceNow REQ/RITM records.</w:t>
            </w:r>
          </w:p>
        </w:tc>
      </w:tr>
      <w:tr>
        <w:tc>
          <w:tcPr>
            <w:tcW w:type="dxa" w:w="3456"/>
            <w:shd w:fill="FFFFFF"/>
            <w:vAlign w:val="top"/>
          </w:tcPr>
          <w:p>
            <w:pPr>
              <w:spacing w:after="40"/>
            </w:pPr>
            <w:r/>
            <w:r>
              <w:rPr>
                <w:b/>
                <w:sz w:val="19"/>
              </w:rPr>
              <w:t>3.</w:t>
            </w:r>
          </w:p>
        </w:tc>
        <w:tc>
          <w:tcPr>
            <w:tcW w:type="dxa" w:w="3456"/>
            <w:shd w:fill="F7F9FB"/>
            <w:vAlign w:val="top"/>
          </w:tcPr>
          <w:p>
            <w:pPr>
              <w:spacing w:after="40"/>
            </w:pPr>
            <w:r/>
            <w:r>
              <w:rPr>
                <w:b/>
                <w:sz w:val="19"/>
              </w:rPr>
              <w:t>Novelty / Uniqueness</w:t>
            </w:r>
          </w:p>
        </w:tc>
        <w:tc>
          <w:tcPr>
            <w:tcW w:type="dxa" w:w="3456"/>
            <w:shd w:fill="FFFFFF"/>
            <w:vAlign w:val="top"/>
          </w:tcPr>
          <w:p>
            <w:pPr>
              <w:spacing w:after="40"/>
            </w:pPr>
            <w:r/>
            <w:r>
              <w:rPr>
                <w:b/>
                <w:sz w:val="19"/>
              </w:rPr>
            </w:r>
          </w:p>
          <w:p>
            <w:pPr>
              <w:spacing w:after="0"/>
            </w:pPr>
            <w:r>
              <w:rPr>
                <w:sz w:val="18"/>
              </w:rPr>
              <w:t>The proposed solution is not limited to creating a request form. Its distinguishing idea is the connected request lifecycle: structured intake → data capture → operational record → approval → controlled progression → fulfilment/status visibility. It also keeps human approval as a decision point while automating the movement and organization of request information. The design is modular, so additional network services can be introduced without redesigning the complete request-management pattern.</w:t>
            </w:r>
          </w:p>
        </w:tc>
      </w:tr>
      <w:tr>
        <w:tc>
          <w:tcPr>
            <w:tcW w:type="dxa" w:w="3456"/>
            <w:shd w:fill="FFFFFF"/>
            <w:vAlign w:val="top"/>
          </w:tcPr>
          <w:p>
            <w:pPr>
              <w:spacing w:after="40"/>
            </w:pPr>
            <w:r/>
            <w:r>
              <w:rPr>
                <w:b/>
                <w:sz w:val="19"/>
              </w:rPr>
              <w:t>4.</w:t>
            </w:r>
          </w:p>
        </w:tc>
        <w:tc>
          <w:tcPr>
            <w:tcW w:type="dxa" w:w="3456"/>
            <w:shd w:fill="F7F9FB"/>
            <w:vAlign w:val="top"/>
          </w:tcPr>
          <w:p>
            <w:pPr>
              <w:spacing w:after="40"/>
            </w:pPr>
            <w:r/>
            <w:r>
              <w:rPr>
                <w:b/>
                <w:sz w:val="19"/>
              </w:rPr>
              <w:t>Social Impact / Customer Satisfaction</w:t>
            </w:r>
          </w:p>
        </w:tc>
        <w:tc>
          <w:tcPr>
            <w:tcW w:type="dxa" w:w="3456"/>
            <w:shd w:fill="FFFFFF"/>
            <w:vAlign w:val="top"/>
          </w:tcPr>
          <w:p>
            <w:pPr>
              <w:spacing w:after="40"/>
            </w:pPr>
            <w:r/>
            <w:r>
              <w:rPr>
                <w:b/>
                <w:sz w:val="19"/>
              </w:rPr>
            </w:r>
          </w:p>
          <w:p>
            <w:pPr>
              <w:spacing w:after="0"/>
            </w:pPr>
            <w:r>
              <w:rPr>
                <w:sz w:val="18"/>
              </w:rPr>
              <w:t>For requesters, the solution provides a more structured and transparent way to submit a network-service request and receive a request/RITM reference. For approvers, it creates a defined point for reviewing the request before progression. For network/IT fulfilment teams, standardized request information can reduce repeated clarification and manual coordination. For administrators, centralized configuration, access control and lifecycle records improve maintainability and traceability. The solution therefore focuses on reducing process friction and improving service experience rather than only adding technical components.</w:t>
            </w:r>
          </w:p>
        </w:tc>
      </w:tr>
      <w:tr>
        <w:tc>
          <w:tcPr>
            <w:tcW w:type="dxa" w:w="3456"/>
            <w:shd w:fill="FFFFFF"/>
            <w:vAlign w:val="top"/>
          </w:tcPr>
          <w:p>
            <w:pPr>
              <w:spacing w:after="40"/>
            </w:pPr>
            <w:r/>
            <w:r>
              <w:rPr>
                <w:b/>
                <w:sz w:val="19"/>
              </w:rPr>
              <w:t>5.</w:t>
            </w:r>
          </w:p>
        </w:tc>
        <w:tc>
          <w:tcPr>
            <w:tcW w:type="dxa" w:w="3456"/>
            <w:shd w:fill="F7F9FB"/>
            <w:vAlign w:val="top"/>
          </w:tcPr>
          <w:p>
            <w:pPr>
              <w:spacing w:after="40"/>
            </w:pPr>
            <w:r/>
            <w:r>
              <w:rPr>
                <w:b/>
                <w:sz w:val="19"/>
              </w:rPr>
              <w:t>Business Model</w:t>
              <w:br/>
              <w:t>(Revenue Model)</w:t>
            </w:r>
          </w:p>
        </w:tc>
        <w:tc>
          <w:tcPr>
            <w:tcW w:type="dxa" w:w="3456"/>
            <w:shd w:fill="FFFFFF"/>
            <w:vAlign w:val="top"/>
          </w:tcPr>
          <w:p>
            <w:pPr>
              <w:spacing w:after="40"/>
            </w:pPr>
            <w:r/>
            <w:r>
              <w:rPr>
                <w:b/>
                <w:sz w:val="19"/>
              </w:rPr>
            </w:r>
          </w:p>
          <w:p>
            <w:pPr>
              <w:spacing w:after="0"/>
            </w:pPr>
            <w:r>
              <w:rPr>
                <w:sz w:val="18"/>
              </w:rPr>
              <w:t>The current project is an internal IT service-management solution and does not implement a direct customer revenue model. Its business value is operational: reducing manual coordination, improving process consistency, reducing avoidable handling effort, and providing centralized request visibility. In an enterprise deployment, the same platform pattern could support internal service management across departments or be adapted as a managed IT-service capability.</w:t>
            </w:r>
          </w:p>
        </w:tc>
      </w:tr>
      <w:tr>
        <w:tc>
          <w:tcPr>
            <w:tcW w:type="dxa" w:w="3456"/>
            <w:shd w:fill="FFFFFF"/>
            <w:vAlign w:val="top"/>
          </w:tcPr>
          <w:p>
            <w:pPr>
              <w:spacing w:after="40"/>
            </w:pPr>
            <w:r/>
            <w:r>
              <w:rPr>
                <w:b/>
                <w:sz w:val="19"/>
              </w:rPr>
              <w:t>6.</w:t>
            </w:r>
          </w:p>
        </w:tc>
        <w:tc>
          <w:tcPr>
            <w:tcW w:type="dxa" w:w="3456"/>
            <w:shd w:fill="F7F9FB"/>
            <w:vAlign w:val="top"/>
          </w:tcPr>
          <w:p>
            <w:pPr>
              <w:spacing w:after="40"/>
            </w:pPr>
            <w:r/>
            <w:r>
              <w:rPr>
                <w:b/>
                <w:sz w:val="19"/>
              </w:rPr>
              <w:t>Scalability of the Solution</w:t>
            </w:r>
          </w:p>
        </w:tc>
        <w:tc>
          <w:tcPr>
            <w:tcW w:type="dxa" w:w="3456"/>
            <w:shd w:fill="FFFFFF"/>
            <w:vAlign w:val="top"/>
          </w:tcPr>
          <w:p>
            <w:pPr>
              <w:spacing w:after="40"/>
            </w:pPr>
            <w:r/>
            <w:r>
              <w:rPr>
                <w:b/>
                <w:sz w:val="19"/>
              </w:rPr>
            </w:r>
          </w:p>
          <w:p>
            <w:pPr>
              <w:spacing w:after="0"/>
            </w:pPr>
            <w:r>
              <w:rPr>
                <w:sz w:val="18"/>
              </w:rPr>
              <w:t>The solution can be extended by adding more network-service catalog items, additional request variables, approval levels, fulfilment tasks, notifications, dashboards and integrations. The Service Catalog provides the intake layer, while Flow Designer and structured records provide a reusable automation pattern. Future extensions may include network-device/API integrations, broader fulfilment automation, external messaging and advanced analytics; these are not represented as current implemented features unless separately configured and validated.</w:t>
            </w:r>
          </w:p>
        </w:tc>
      </w:tr>
    </w:tbl>
    <w:p>
      <w:r>
        <w:br w:type="page"/>
      </w:r>
    </w:p>
    <w:p>
      <w:pPr>
        <w:jc w:val="center"/>
      </w:pPr>
      <w:r>
        <w:rPr>
          <w:b/>
          <w:sz w:val="30"/>
        </w:rPr>
        <w:t>PROPOSED SOLUTION — IMPLEMENTATION ANCHORS</w:t>
      </w:r>
    </w:p>
    <w:p>
      <w:pPr>
        <w:spacing w:after="120"/>
      </w:pPr>
      <w:r>
        <w:t>The six parameters above describe the proposed solution. The following evidence anchors show how the proposal is grounded in the actual ServiceNow configuration supplied for this project.</w:t>
      </w:r>
    </w:p>
    <w:tbl>
      <w:tblPr>
        <w:tblW w:type="auto" w:w="0"/>
        <w:jc w:val="center"/>
        <w:tblLook w:firstColumn="1" w:firstRow="1" w:lastColumn="0" w:lastRow="0" w:noHBand="0" w:noVBand="1" w:val="04A0"/>
      </w:tblPr>
      <w:tblGrid>
        <w:gridCol w:w="5184"/>
        <w:gridCol w:w="5184"/>
      </w:tblGrid>
      <w:tr>
        <w:tc>
          <w:tcPr>
            <w:tcW w:type="dxa" w:w="5184"/>
            <w:shd w:fill="DCE6F1"/>
            <w:vAlign w:val="top"/>
          </w:tcPr>
          <w:p>
            <w:pPr>
              <w:spacing w:after="40"/>
            </w:pPr>
            <w:r/>
            <w:r>
              <w:rPr>
                <w:b/>
                <w:sz w:val="19"/>
              </w:rPr>
              <w:t>Implementation Anchor</w:t>
            </w:r>
          </w:p>
        </w:tc>
        <w:tc>
          <w:tcPr>
            <w:tcW w:type="dxa" w:w="5184"/>
            <w:shd w:fill="DCE6F1"/>
            <w:vAlign w:val="top"/>
          </w:tcPr>
          <w:p>
            <w:pPr>
              <w:spacing w:after="40"/>
            </w:pPr>
            <w:r/>
            <w:r>
              <w:rPr>
                <w:b/>
                <w:sz w:val="19"/>
              </w:rPr>
              <w:t>Observed Project Configuration</w:t>
            </w:r>
          </w:p>
        </w:tc>
      </w:tr>
      <w:tr>
        <w:tc>
          <w:tcPr>
            <w:tcW w:type="dxa" w:w="5184"/>
            <w:shd w:fill="F7F9FB"/>
            <w:vAlign w:val="top"/>
          </w:tcPr>
          <w:p>
            <w:pPr>
              <w:spacing w:after="40"/>
            </w:pPr>
            <w:r/>
            <w:r>
              <w:rPr>
                <w:b/>
                <w:sz w:val="19"/>
              </w:rPr>
              <w:t>Service Catalog entry</w:t>
            </w:r>
          </w:p>
        </w:tc>
        <w:tc>
          <w:tcPr>
            <w:tcW w:type="dxa" w:w="5184"/>
            <w:shd w:fill="FFFFFF"/>
            <w:vAlign w:val="top"/>
          </w:tcPr>
          <w:p>
            <w:pPr>
              <w:spacing w:after="40"/>
            </w:pPr>
            <w:r/>
            <w:r>
              <w:rPr>
                <w:b/>
                <w:sz w:val="19"/>
              </w:rPr>
            </w:r>
          </w:p>
          <w:p>
            <w:pPr>
              <w:spacing w:after="0"/>
            </w:pPr>
            <w:r>
              <w:rPr>
                <w:sz w:val="18"/>
              </w:rPr>
              <w:t>Network Request is an active catalog item under Service Catalog → Networks and Connectivity.</w:t>
            </w:r>
          </w:p>
        </w:tc>
      </w:tr>
      <w:tr>
        <w:tc>
          <w:tcPr>
            <w:tcW w:type="dxa" w:w="5184"/>
            <w:shd w:fill="F7F9FB"/>
            <w:vAlign w:val="top"/>
          </w:tcPr>
          <w:p>
            <w:pPr>
              <w:spacing w:after="40"/>
            </w:pPr>
            <w:r/>
            <w:r>
              <w:rPr>
                <w:b/>
                <w:sz w:val="19"/>
              </w:rPr>
              <w:t>Structured request capture</w:t>
            </w:r>
          </w:p>
        </w:tc>
        <w:tc>
          <w:tcPr>
            <w:tcW w:type="dxa" w:w="5184"/>
            <w:shd w:fill="FFFFFF"/>
            <w:vAlign w:val="top"/>
          </w:tcPr>
          <w:p>
            <w:pPr>
              <w:spacing w:after="40"/>
            </w:pPr>
            <w:r/>
            <w:r>
              <w:rPr>
                <w:b/>
                <w:sz w:val="19"/>
              </w:rPr>
            </w:r>
          </w:p>
          <w:p>
            <w:pPr>
              <w:spacing w:after="0"/>
            </w:pPr>
            <w:r>
              <w:rPr>
                <w:sz w:val="18"/>
              </w:rPr>
              <w:t>Nine catalog variables are configured: Requested For, Mobile Number, Type of Connection, Enter your Existing ID, Total Amount, Mode of Payment, Address, Database Number and Request Number.</w:t>
            </w:r>
          </w:p>
        </w:tc>
      </w:tr>
      <w:tr>
        <w:tc>
          <w:tcPr>
            <w:tcW w:type="dxa" w:w="5184"/>
            <w:shd w:fill="F7F9FB"/>
            <w:vAlign w:val="top"/>
          </w:tcPr>
          <w:p>
            <w:pPr>
              <w:spacing w:after="40"/>
            </w:pPr>
            <w:r/>
            <w:r>
              <w:rPr>
                <w:b/>
                <w:sz w:val="19"/>
              </w:rPr>
              <w:t>Reusable requester grouping</w:t>
            </w:r>
          </w:p>
        </w:tc>
        <w:tc>
          <w:tcPr>
            <w:tcW w:type="dxa" w:w="5184"/>
            <w:shd w:fill="FFFFFF"/>
            <w:vAlign w:val="top"/>
          </w:tcPr>
          <w:p>
            <w:pPr>
              <w:spacing w:after="40"/>
            </w:pPr>
            <w:r/>
            <w:r>
              <w:rPr>
                <w:b/>
                <w:sz w:val="19"/>
              </w:rPr>
            </w:r>
          </w:p>
          <w:p>
            <w:pPr>
              <w:spacing w:after="0"/>
            </w:pPr>
            <w:r>
              <w:rPr>
                <w:sz w:val="18"/>
              </w:rPr>
              <w:t>A variable set named Requester Information is associated with the catalog item.</w:t>
            </w:r>
          </w:p>
        </w:tc>
      </w:tr>
      <w:tr>
        <w:tc>
          <w:tcPr>
            <w:tcW w:type="dxa" w:w="5184"/>
            <w:shd w:fill="F7F9FB"/>
            <w:vAlign w:val="top"/>
          </w:tcPr>
          <w:p>
            <w:pPr>
              <w:spacing w:after="40"/>
            </w:pPr>
            <w:r/>
            <w:r>
              <w:rPr>
                <w:b/>
                <w:sz w:val="19"/>
              </w:rPr>
              <w:t>Dynamic form behaviour</w:t>
            </w:r>
          </w:p>
        </w:tc>
        <w:tc>
          <w:tcPr>
            <w:tcW w:type="dxa" w:w="5184"/>
            <w:shd w:fill="FFFFFF"/>
            <w:vAlign w:val="top"/>
          </w:tcPr>
          <w:p>
            <w:pPr>
              <w:spacing w:after="40"/>
            </w:pPr>
            <w:r/>
            <w:r>
              <w:rPr>
                <w:b/>
                <w:sz w:val="19"/>
              </w:rPr>
            </w:r>
          </w:p>
          <w:p>
            <w:pPr>
              <w:spacing w:after="0"/>
            </w:pPr>
            <w:r>
              <w:rPr>
                <w:sz w:val="18"/>
              </w:rPr>
              <w:t>A Catalog UI Policy named “visible/hide of ID field” is configured for the Network Request item.</w:t>
            </w:r>
          </w:p>
        </w:tc>
      </w:tr>
      <w:tr>
        <w:tc>
          <w:tcPr>
            <w:tcW w:type="dxa" w:w="5184"/>
            <w:shd w:fill="F7F9FB"/>
            <w:vAlign w:val="top"/>
          </w:tcPr>
          <w:p>
            <w:pPr>
              <w:spacing w:after="40"/>
            </w:pPr>
            <w:r/>
            <w:r>
              <w:rPr>
                <w:b/>
                <w:sz w:val="19"/>
              </w:rPr>
              <w:t>Operational data layer</w:t>
            </w:r>
          </w:p>
        </w:tc>
        <w:tc>
          <w:tcPr>
            <w:tcW w:type="dxa" w:w="5184"/>
            <w:shd w:fill="FFFFFF"/>
            <w:vAlign w:val="top"/>
          </w:tcPr>
          <w:p>
            <w:pPr>
              <w:spacing w:after="40"/>
            </w:pPr>
            <w:r/>
            <w:r>
              <w:rPr>
                <w:b/>
                <w:sz w:val="19"/>
              </w:rPr>
            </w:r>
          </w:p>
          <w:p>
            <w:pPr>
              <w:spacing w:after="0"/>
            </w:pPr>
            <w:r>
              <w:rPr>
                <w:sz w:val="18"/>
              </w:rPr>
              <w:t>A custom table labelled Database Tables with name u_database_tables contains request-related fields including Approval Status, Requested For, Request Number, Assignment to and other captured values.</w:t>
            </w:r>
          </w:p>
        </w:tc>
      </w:tr>
      <w:tr>
        <w:tc>
          <w:tcPr>
            <w:tcW w:type="dxa" w:w="5184"/>
            <w:shd w:fill="F7F9FB"/>
            <w:vAlign w:val="top"/>
          </w:tcPr>
          <w:p>
            <w:pPr>
              <w:spacing w:after="40"/>
            </w:pPr>
            <w:r/>
            <w:r>
              <w:rPr>
                <w:b/>
                <w:sz w:val="19"/>
              </w:rPr>
              <w:t>Access control</w:t>
            </w:r>
          </w:p>
        </w:tc>
        <w:tc>
          <w:tcPr>
            <w:tcW w:type="dxa" w:w="5184"/>
            <w:shd w:fill="FFFFFF"/>
            <w:vAlign w:val="top"/>
          </w:tcPr>
          <w:p>
            <w:pPr>
              <w:spacing w:after="40"/>
            </w:pPr>
            <w:r/>
            <w:r>
              <w:rPr>
                <w:b/>
                <w:sz w:val="19"/>
              </w:rPr>
            </w:r>
          </w:p>
          <w:p>
            <w:pPr>
              <w:spacing w:after="0"/>
            </w:pPr>
            <w:r>
              <w:rPr>
                <w:sz w:val="18"/>
              </w:rPr>
              <w:t>Four active record ACLs are shown for create, write, read and delete operations on the custom table.</w:t>
            </w:r>
          </w:p>
        </w:tc>
      </w:tr>
      <w:tr>
        <w:tc>
          <w:tcPr>
            <w:tcW w:type="dxa" w:w="5184"/>
            <w:shd w:fill="F7F9FB"/>
            <w:vAlign w:val="top"/>
          </w:tcPr>
          <w:p>
            <w:pPr>
              <w:spacing w:after="40"/>
            </w:pPr>
            <w:r/>
            <w:r>
              <w:rPr>
                <w:b/>
                <w:sz w:val="19"/>
              </w:rPr>
              <w:t>Approval linkage</w:t>
            </w:r>
          </w:p>
        </w:tc>
        <w:tc>
          <w:tcPr>
            <w:tcW w:type="dxa" w:w="5184"/>
            <w:shd w:fill="FFFFFF"/>
            <w:vAlign w:val="top"/>
          </w:tcPr>
          <w:p>
            <w:pPr>
              <w:spacing w:after="40"/>
            </w:pPr>
            <w:r/>
            <w:r>
              <w:rPr>
                <w:b/>
                <w:sz w:val="19"/>
              </w:rPr>
            </w:r>
          </w:p>
          <w:p>
            <w:pPr>
              <w:spacing w:after="0"/>
            </w:pPr>
            <w:r>
              <w:rPr>
                <w:sz w:val="18"/>
              </w:rPr>
              <w:t>An Approval Request relationship is configured between Database Tables and Approval records.</w:t>
            </w:r>
          </w:p>
        </w:tc>
      </w:tr>
      <w:tr>
        <w:tc>
          <w:tcPr>
            <w:tcW w:type="dxa" w:w="5184"/>
            <w:shd w:fill="F7F9FB"/>
            <w:vAlign w:val="top"/>
          </w:tcPr>
          <w:p>
            <w:pPr>
              <w:spacing w:after="40"/>
            </w:pPr>
            <w:r/>
            <w:r>
              <w:rPr>
                <w:b/>
                <w:sz w:val="19"/>
              </w:rPr>
              <w:t>Request lifecycle</w:t>
            </w:r>
          </w:p>
        </w:tc>
        <w:tc>
          <w:tcPr>
            <w:tcW w:type="dxa" w:w="5184"/>
            <w:shd w:fill="FFFFFF"/>
            <w:vAlign w:val="top"/>
          </w:tcPr>
          <w:p>
            <w:pPr>
              <w:spacing w:after="40"/>
            </w:pPr>
            <w:r/>
            <w:r>
              <w:rPr>
                <w:b/>
                <w:sz w:val="19"/>
              </w:rPr>
            </w:r>
          </w:p>
          <w:p>
            <w:pPr>
              <w:spacing w:after="0"/>
            </w:pPr>
            <w:r>
              <w:rPr>
                <w:sz w:val="18"/>
              </w:rPr>
              <w:t>The submitted example shows REQ0010014 and requested item RITM0010018, with lifecycle stages including Waiting for Approval (Approved), Assess or Scope Task, Provide Service and Completed.</w:t>
            </w:r>
          </w:p>
        </w:tc>
      </w:tr>
    </w:tbl>
    <w:p>
      <w:pPr>
        <w:spacing w:before="160"/>
      </w:pPr>
      <w:r>
        <w:rPr>
          <w:b/>
        </w:rPr>
        <w:t xml:space="preserve">Scope discipline: </w:t>
      </w:r>
      <w:r>
        <w:t>This document does not claim direct network-device/API automation, external messaging, AI classification or advanced analytics as implemented functionality. Such capabilities remain possible future extensions unless separately evidenced.</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Automated Network Request Management  |  Proposed Solution  |  02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PROJECT DESIGN PHASE-II  •  AUTOMATED NETWORK REQUEST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