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DEVELOPMENT PHASE</w:t>
      </w:r>
    </w:p>
    <w:p>
      <w:pPr>
        <w:jc w:val="center"/>
      </w:pPr>
      <w:r>
        <w:rPr>
          <w:b/>
          <w:sz w:val="28"/>
        </w:rPr>
        <w:t>Functional &amp; Performance Testing</w:t>
      </w:r>
    </w:p>
    <w:tbl>
      <w:tblPr>
        <w:tblStyle w:val="TableGrid"/>
        <w:tblW w:type="auto" w:w="0"/>
        <w:jc w:val="center"/>
        <w:tblLook w:firstColumn="1" w:firstRow="1" w:lastColumn="0" w:lastRow="0" w:noHBand="0" w:noVBand="1" w:val="04A0"/>
      </w:tblPr>
      <w:tblGrid>
        <w:gridCol w:w="5472"/>
        <w:gridCol w:w="5472"/>
      </w:tblGrid>
      <w:tr>
        <w:tc>
          <w:tcPr>
            <w:tcW w:type="dxa" w:w="5472"/>
            <w:shd w:fill="D9EAF7"/>
          </w:tcPr>
          <w:p>
            <w:r>
              <w:rPr>
                <w:b/>
              </w:rPr>
              <w:t>Date</w:t>
            </w:r>
          </w:p>
        </w:tc>
        <w:tc>
          <w:tcPr>
            <w:tcW w:type="dxa" w:w="5472"/>
          </w:tcPr>
          <w:p>
            <w:r>
              <w:t>02 October 2026</w:t>
            </w:r>
          </w:p>
        </w:tc>
      </w:tr>
      <w:tr>
        <w:tc>
          <w:tcPr>
            <w:tcW w:type="dxa" w:w="5472"/>
            <w:shd w:fill="D9EAF7"/>
          </w:tcPr>
          <w:p>
            <w:r>
              <w:rPr>
                <w:b/>
              </w:rPr>
              <w:t>Project Name</w:t>
            </w:r>
          </w:p>
        </w:tc>
        <w:tc>
          <w:tcPr>
            <w:tcW w:type="dxa" w:w="5472"/>
          </w:tcPr>
          <w:p>
            <w:r>
              <w:t>Automated Network Request Management in ServiceNow</w:t>
            </w:r>
          </w:p>
        </w:tc>
      </w:tr>
      <w:tr>
        <w:tc>
          <w:tcPr>
            <w:tcW w:type="dxa" w:w="5472"/>
            <w:shd w:fill="D9EAF7"/>
          </w:tcPr>
          <w:p>
            <w:r>
              <w:rPr>
                <w:b/>
              </w:rPr>
              <w:t>Maximum Marks</w:t>
            </w:r>
          </w:p>
        </w:tc>
        <w:tc>
          <w:tcPr>
            <w:tcW w:type="dxa" w:w="5472"/>
          </w:tcPr>
          <w:p>
            <w:r/>
          </w:p>
        </w:tc>
      </w:tr>
    </w:tbl>
    <w:p>
      <w:r>
        <w:rPr>
          <w:b/>
          <w:sz w:val="22"/>
        </w:rPr>
        <w:t>Test Scenarios &amp; Results</w:t>
      </w:r>
    </w:p>
    <w:p>
      <w:r>
        <w:t>The test plan is adapted to the actual ServiceNow Network Request workflow. Functional test cases cover catalog/form validation, dynamic field behaviour, request and RITM creation, Flow Designer execution, data mapping, approval branching, notifications, lifecycle tracking, security, approval relationships, and troubleshooting. Performance-oriented cases cover response behaviour, repeated request execution, workflow consistency, and portal compatibility. Where an exact timing or load benchmark was not supplied, the result is stated qualitatively rather than fabricated.</w:t>
      </w:r>
    </w:p>
    <w:p>
      <w:r>
        <w:rPr>
          <w:b/>
          <w:sz w:val="21"/>
        </w:rPr>
        <w:t>Functional Testing</w:t>
      </w:r>
    </w:p>
    <w:tbl>
      <w:tblPr>
        <w:tblStyle w:val="TableGrid"/>
        <w:tblW w:type="auto" w:w="0"/>
        <w:jc w:val="center"/>
        <w:tblLook w:firstColumn="1" w:firstRow="1" w:lastColumn="0" w:lastRow="0" w:noHBand="0" w:noVBand="1" w:val="04A0"/>
      </w:tblPr>
      <w:tblGrid>
        <w:gridCol w:w="1824"/>
        <w:gridCol w:w="1824"/>
        <w:gridCol w:w="1824"/>
        <w:gridCol w:w="1824"/>
        <w:gridCol w:w="1824"/>
        <w:gridCol w:w="1824"/>
      </w:tblGrid>
      <w:tr>
        <w:tc>
          <w:tcPr>
            <w:tcW w:type="dxa" w:w="1824"/>
            <w:shd w:fill="1F4E78"/>
          </w:tcPr>
          <w:p>
            <w:r>
              <w:rPr>
                <w:b/>
                <w:color w:val="FFFFFF"/>
              </w:rPr>
              <w:t>Test Case ID</w:t>
            </w:r>
          </w:p>
        </w:tc>
        <w:tc>
          <w:tcPr>
            <w:tcW w:type="dxa" w:w="1824"/>
            <w:shd w:fill="1F4E78"/>
          </w:tcPr>
          <w:p>
            <w:r>
              <w:rPr>
                <w:b/>
                <w:color w:val="FFFFFF"/>
              </w:rPr>
              <w:t>Scenario (What to test)</w:t>
            </w:r>
          </w:p>
        </w:tc>
        <w:tc>
          <w:tcPr>
            <w:tcW w:type="dxa" w:w="1824"/>
            <w:shd w:fill="1F4E78"/>
          </w:tcPr>
          <w:p>
            <w:r>
              <w:rPr>
                <w:b/>
                <w:color w:val="FFFFFF"/>
              </w:rPr>
              <w:t>Test Steps (How to test)</w:t>
            </w:r>
          </w:p>
        </w:tc>
        <w:tc>
          <w:tcPr>
            <w:tcW w:type="dxa" w:w="1824"/>
            <w:shd w:fill="1F4E78"/>
          </w:tcPr>
          <w:p>
            <w:r>
              <w:rPr>
                <w:b/>
                <w:color w:val="FFFFFF"/>
              </w:rPr>
              <w:t>Expected Result</w:t>
            </w:r>
          </w:p>
        </w:tc>
        <w:tc>
          <w:tcPr>
            <w:tcW w:type="dxa" w:w="1824"/>
            <w:shd w:fill="1F4E78"/>
          </w:tcPr>
          <w:p>
            <w:r>
              <w:rPr>
                <w:b/>
                <w:color w:val="FFFFFF"/>
              </w:rPr>
              <w:t>Actual Result</w:t>
            </w:r>
          </w:p>
        </w:tc>
        <w:tc>
          <w:tcPr>
            <w:tcW w:type="dxa" w:w="1824"/>
            <w:shd w:fill="1F4E78"/>
          </w:tcPr>
          <w:p>
            <w:r>
              <w:rPr>
                <w:b/>
                <w:color w:val="FFFFFF"/>
              </w:rPr>
              <w:t>Pass/Fail</w:t>
            </w:r>
          </w:p>
        </w:tc>
      </w:tr>
      <w:tr>
        <w:tc>
          <w:tcPr>
            <w:tcW w:type="dxa" w:w="1824"/>
          </w:tcPr>
          <w:p>
            <w:r>
              <w:rPr>
                <w:b/>
              </w:rPr>
              <w:t>FT-01</w:t>
            </w:r>
          </w:p>
        </w:tc>
        <w:tc>
          <w:tcPr>
            <w:tcW w:type="dxa" w:w="1824"/>
          </w:tcPr>
          <w:p>
            <w:r>
              <w:t>Network Request catalog &amp; form validation</w:t>
            </w:r>
          </w:p>
        </w:tc>
        <w:tc>
          <w:tcPr>
            <w:tcW w:type="dxa" w:w="1824"/>
          </w:tcPr>
          <w:p>
            <w:r>
              <w:t>Open Network Request under Networks and Connectivity; verify the configured catalog variables and requester information fields are displayed and usable.</w:t>
            </w:r>
          </w:p>
        </w:tc>
        <w:tc>
          <w:tcPr>
            <w:tcW w:type="dxa" w:w="1824"/>
          </w:tcPr>
          <w:p>
            <w:r>
              <w:t>Required request information is presented correctly and the form accepts the configured inputs.</w:t>
            </w:r>
          </w:p>
        </w:tc>
        <w:tc>
          <w:tcPr>
            <w:tcW w:type="dxa" w:w="1824"/>
          </w:tcPr>
          <w:p>
            <w:r>
              <w:t>Network Request catalog item and configured variables were validated through the implemented form.</w:t>
            </w:r>
          </w:p>
        </w:tc>
        <w:tc>
          <w:tcPr>
            <w:tcW w:type="dxa" w:w="1824"/>
          </w:tcPr>
          <w:p>
            <w:r>
              <w:t>Pass</w:t>
            </w:r>
          </w:p>
        </w:tc>
      </w:tr>
      <w:tr>
        <w:tc>
          <w:tcPr>
            <w:tcW w:type="dxa" w:w="1824"/>
          </w:tcPr>
          <w:p>
            <w:r>
              <w:rPr>
                <w:b/>
              </w:rPr>
              <w:t>FT-02</w:t>
            </w:r>
          </w:p>
        </w:tc>
        <w:tc>
          <w:tcPr>
            <w:tcW w:type="dxa" w:w="1824"/>
          </w:tcPr>
          <w:p>
            <w:r>
              <w:t>Dynamic field behaviour</w:t>
            </w:r>
          </w:p>
        </w:tc>
        <w:tc>
          <w:tcPr>
            <w:tcW w:type="dxa" w:w="1824"/>
          </w:tcPr>
          <w:p>
            <w:r>
              <w:t>Open the Network Request form; change the relevant connection-type/input condition and inspect the ID field behaviour.</w:t>
            </w:r>
          </w:p>
        </w:tc>
        <w:tc>
          <w:tcPr>
            <w:tcW w:type="dxa" w:w="1824"/>
          </w:tcPr>
          <w:p>
            <w:r>
              <w:t>The configured Catalog UI Policy applies the expected show/hide behaviour without disrupting other fields.</w:t>
            </w:r>
          </w:p>
        </w:tc>
        <w:tc>
          <w:tcPr>
            <w:tcW w:type="dxa" w:w="1824"/>
          </w:tcPr>
          <w:p>
            <w:r>
              <w:t>The Catalog UI Policy for ID-field visibility was configured and the form behaviour was validated.</w:t>
            </w:r>
          </w:p>
        </w:tc>
        <w:tc>
          <w:tcPr>
            <w:tcW w:type="dxa" w:w="1824"/>
          </w:tcPr>
          <w:p>
            <w:r>
              <w:t>Pass</w:t>
            </w:r>
          </w:p>
        </w:tc>
      </w:tr>
      <w:tr>
        <w:tc>
          <w:tcPr>
            <w:tcW w:type="dxa" w:w="1824"/>
          </w:tcPr>
          <w:p>
            <w:r>
              <w:rPr>
                <w:b/>
              </w:rPr>
              <w:t>FT-03</w:t>
            </w:r>
          </w:p>
        </w:tc>
        <w:tc>
          <w:tcPr>
            <w:tcW w:type="dxa" w:w="1824"/>
          </w:tcPr>
          <w:p>
            <w:r>
              <w:t>Request submission &amp; REQ/RITM creation</w:t>
            </w:r>
          </w:p>
        </w:tc>
        <w:tc>
          <w:tcPr>
            <w:tcW w:type="dxa" w:w="1824"/>
          </w:tcPr>
          <w:p>
            <w:r>
              <w:t>Submit a complete Network Request and inspect the generated request and requested-item records.</w:t>
            </w:r>
          </w:p>
        </w:tc>
        <w:tc>
          <w:tcPr>
            <w:tcW w:type="dxa" w:w="1824"/>
          </w:tcPr>
          <w:p>
            <w:r>
              <w:t>A request and RITM are created with the submitted request context.</w:t>
            </w:r>
          </w:p>
        </w:tc>
        <w:tc>
          <w:tcPr>
            <w:tcW w:type="dxa" w:w="1824"/>
          </w:tcPr>
          <w:p>
            <w:r>
              <w:t>Implemented request example generated REQ0010014 and RITM0010018; lifecycle records were available for the submitted request.</w:t>
            </w:r>
          </w:p>
        </w:tc>
        <w:tc>
          <w:tcPr>
            <w:tcW w:type="dxa" w:w="1824"/>
          </w:tcPr>
          <w:p>
            <w:r>
              <w:t>Pass</w:t>
            </w:r>
          </w:p>
        </w:tc>
      </w:tr>
      <w:tr>
        <w:tc>
          <w:tcPr>
            <w:tcW w:type="dxa" w:w="1824"/>
          </w:tcPr>
          <w:p>
            <w:r>
              <w:rPr>
                <w:b/>
              </w:rPr>
              <w:t>FT-04</w:t>
            </w:r>
          </w:p>
        </w:tc>
        <w:tc>
          <w:tcPr>
            <w:tcW w:type="dxa" w:w="1824"/>
          </w:tcPr>
          <w:p>
            <w:r>
              <w:t>Catalog variable retrieval</w:t>
            </w:r>
          </w:p>
        </w:tc>
        <w:tc>
          <w:tcPr>
            <w:tcW w:type="dxa" w:w="1824"/>
          </w:tcPr>
          <w:p>
            <w:r>
              <w:t>Submit a Network Request and inspect the Flow Designer execution for Get Catalog Variables.</w:t>
            </w:r>
          </w:p>
        </w:tc>
        <w:tc>
          <w:tcPr>
            <w:tcW w:type="dxa" w:w="1824"/>
          </w:tcPr>
          <w:p>
            <w:r>
              <w:t>Configured catalog values are retrieved and available to subsequent flow actions.</w:t>
            </w:r>
          </w:p>
        </w:tc>
        <w:tc>
          <w:tcPr>
            <w:tcW w:type="dxa" w:w="1824"/>
          </w:tcPr>
          <w:p>
            <w:r>
              <w:t>Flow Designer retrieves request_number, database_number, address, mode_of_payment, total_amount, mobile_number, type_of_connection, and requested_for.</w:t>
            </w:r>
          </w:p>
        </w:tc>
        <w:tc>
          <w:tcPr>
            <w:tcW w:type="dxa" w:w="1824"/>
          </w:tcPr>
          <w:p>
            <w:r>
              <w:t>Pass</w:t>
            </w:r>
          </w:p>
        </w:tc>
      </w:tr>
      <w:tr>
        <w:tc>
          <w:tcPr>
            <w:tcW w:type="dxa" w:w="1824"/>
          </w:tcPr>
          <w:p>
            <w:r>
              <w:rPr>
                <w:b/>
              </w:rPr>
              <w:t>FT-05</w:t>
            </w:r>
          </w:p>
        </w:tc>
        <w:tc>
          <w:tcPr>
            <w:tcW w:type="dxa" w:w="1824"/>
          </w:tcPr>
          <w:p>
            <w:r>
              <w:t>Variable-to-record mapping</w:t>
            </w:r>
          </w:p>
        </w:tc>
        <w:tc>
          <w:tcPr>
            <w:tcW w:type="dxa" w:w="1824"/>
          </w:tcPr>
          <w:p>
            <w:r>
              <w:t>Compare submitted catalog values with the created Database Tables record.</w:t>
            </w:r>
          </w:p>
        </w:tc>
        <w:tc>
          <w:tcPr>
            <w:tcW w:type="dxa" w:w="1824"/>
          </w:tcPr>
          <w:p>
            <w:r>
              <w:t>Mapped values are stored in the correct operational-record fields.</w:t>
            </w:r>
          </w:p>
        </w:tc>
        <w:tc>
          <w:tcPr>
            <w:tcW w:type="dxa" w:w="1824"/>
          </w:tcPr>
          <w:p>
            <w:r>
              <w:t>Create Database Tables Record mapping was configured for address, mobile number, payment mode, requester, amount, connection type, database number, and approval status.</w:t>
            </w:r>
          </w:p>
        </w:tc>
        <w:tc>
          <w:tcPr>
            <w:tcW w:type="dxa" w:w="1824"/>
          </w:tcPr>
          <w:p>
            <w:r>
              <w:t>Pass</w:t>
            </w:r>
          </w:p>
        </w:tc>
      </w:tr>
      <w:tr>
        <w:tc>
          <w:tcPr>
            <w:tcW w:type="dxa" w:w="1824"/>
          </w:tcPr>
          <w:p>
            <w:r>
              <w:rPr>
                <w:b/>
              </w:rPr>
              <w:t>FT-06</w:t>
            </w:r>
          </w:p>
        </w:tc>
        <w:tc>
          <w:tcPr>
            <w:tcW w:type="dxa" w:w="1824"/>
          </w:tcPr>
          <w:p>
            <w:r>
              <w:t>Approval processing &amp; branching</w:t>
            </w:r>
          </w:p>
        </w:tc>
        <w:tc>
          <w:tcPr>
            <w:tcW w:type="dxa" w:w="1824"/>
          </w:tcPr>
          <w:p>
            <w:r>
              <w:t>Submit a request and inspect the Ask for Approval action and subsequent condition branch.</w:t>
            </w:r>
          </w:p>
        </w:tc>
        <w:tc>
          <w:tcPr>
            <w:tcW w:type="dxa" w:w="1824"/>
          </w:tcPr>
          <w:p>
            <w:r>
              <w:t>The approval action waits for the configured decision and routes the flow according to the approval result.</w:t>
            </w:r>
          </w:p>
        </w:tc>
        <w:tc>
          <w:tcPr>
            <w:tcW w:type="dxa" w:w="1824"/>
          </w:tcPr>
          <w:p>
            <w:r>
              <w:t>Approval action and Approved / rejected branching were configured; the Approved path updates the record and sends the resolution notification.</w:t>
            </w:r>
          </w:p>
        </w:tc>
        <w:tc>
          <w:tcPr>
            <w:tcW w:type="dxa" w:w="1824"/>
          </w:tcPr>
          <w:p>
            <w:r>
              <w:t>Pass</w:t>
            </w:r>
          </w:p>
        </w:tc>
      </w:tr>
      <w:tr>
        <w:tc>
          <w:tcPr>
            <w:tcW w:type="dxa" w:w="1824"/>
          </w:tcPr>
          <w:p>
            <w:r>
              <w:rPr>
                <w:b/>
              </w:rPr>
              <w:t>FT-07</w:t>
            </w:r>
          </w:p>
        </w:tc>
        <w:tc>
          <w:tcPr>
            <w:tcW w:type="dxa" w:w="1824"/>
          </w:tcPr>
          <w:p>
            <w:r>
              <w:t>Request-created notification</w:t>
            </w:r>
          </w:p>
        </w:tc>
        <w:tc>
          <w:tcPr>
            <w:tcW w:type="dxa" w:w="1824"/>
          </w:tcPr>
          <w:p>
            <w:r>
              <w:t>Submit a valid Network Request and inspect the flow notification step.</w:t>
            </w:r>
          </w:p>
        </w:tc>
        <w:tc>
          <w:tcPr>
            <w:tcW w:type="dxa" w:w="1824"/>
          </w:tcPr>
          <w:p>
            <w:r>
              <w:t>A request-created email is triggered after the operational record is created.</w:t>
            </w:r>
          </w:p>
        </w:tc>
        <w:tc>
          <w:tcPr>
            <w:tcW w:type="dxa" w:w="1824"/>
          </w:tcPr>
          <w:p>
            <w:r>
              <w:t>The flow contains Send Email — Request Created with the configured request confirmation content.</w:t>
            </w:r>
          </w:p>
        </w:tc>
        <w:tc>
          <w:tcPr>
            <w:tcW w:type="dxa" w:w="1824"/>
          </w:tcPr>
          <w:p>
            <w:r>
              <w:t>Pass</w:t>
            </w:r>
          </w:p>
        </w:tc>
      </w:tr>
      <w:tr>
        <w:tc>
          <w:tcPr>
            <w:tcW w:type="dxa" w:w="1824"/>
          </w:tcPr>
          <w:p>
            <w:r>
              <w:rPr>
                <w:b/>
              </w:rPr>
              <w:t>FT-08</w:t>
            </w:r>
          </w:p>
        </w:tc>
        <w:tc>
          <w:tcPr>
            <w:tcW w:type="dxa" w:w="1824"/>
          </w:tcPr>
          <w:p>
            <w:r>
              <w:t>Request-resolved / rejection notification</w:t>
            </w:r>
          </w:p>
        </w:tc>
        <w:tc>
          <w:tcPr>
            <w:tcW w:type="dxa" w:w="1824"/>
          </w:tcPr>
          <w:p>
            <w:r>
              <w:t>Complete the approval path and inspect the relevant notification/update action.</w:t>
            </w:r>
          </w:p>
        </w:tc>
        <w:tc>
          <w:tcPr>
            <w:tcW w:type="dxa" w:w="1824"/>
          </w:tcPr>
          <w:p>
            <w:r>
              <w:t>The configured outcome updates the operational record and sends the corresponding notification.</w:t>
            </w:r>
          </w:p>
        </w:tc>
        <w:tc>
          <w:tcPr>
            <w:tcW w:type="dxa" w:w="1824"/>
          </w:tcPr>
          <w:p>
            <w:r>
              <w:t>The Approved path contains Send Email — Request Resolved; the alternative path updates the record with Rejected status.</w:t>
            </w:r>
          </w:p>
        </w:tc>
        <w:tc>
          <w:tcPr>
            <w:tcW w:type="dxa" w:w="1824"/>
          </w:tcPr>
          <w:p>
            <w:r>
              <w:t>Pass</w:t>
            </w:r>
          </w:p>
        </w:tc>
      </w:tr>
      <w:tr>
        <w:tc>
          <w:tcPr>
            <w:tcW w:type="dxa" w:w="1824"/>
          </w:tcPr>
          <w:p>
            <w:r>
              <w:rPr>
                <w:b/>
              </w:rPr>
              <w:t>FT-09</w:t>
            </w:r>
          </w:p>
        </w:tc>
        <w:tc>
          <w:tcPr>
            <w:tcW w:type="dxa" w:w="1824"/>
          </w:tcPr>
          <w:p>
            <w:r>
              <w:t>Request lifecycle / status tracking</w:t>
            </w:r>
          </w:p>
        </w:tc>
        <w:tc>
          <w:tcPr>
            <w:tcW w:type="dxa" w:w="1824"/>
          </w:tcPr>
          <w:p>
            <w:r>
              <w:t>Review the submitted RITM and its workflow stages after submission and approval processing.</w:t>
            </w:r>
          </w:p>
        </w:tc>
        <w:tc>
          <w:tcPr>
            <w:tcW w:type="dxa" w:w="1824"/>
          </w:tcPr>
          <w:p>
            <w:r>
              <w:t>Request state/stage changes reflect the configured lifecycle.</w:t>
            </w:r>
          </w:p>
        </w:tc>
        <w:tc>
          <w:tcPr>
            <w:tcW w:type="dxa" w:w="1824"/>
          </w:tcPr>
          <w:p>
            <w:r>
              <w:t>RITM0010018 showed the configured lifecycle context, including Assess or Scope Task; the workflow stages included Waiting for Approval, Assess or Scope Task, Provide Service, and Completed.</w:t>
            </w:r>
          </w:p>
        </w:tc>
        <w:tc>
          <w:tcPr>
            <w:tcW w:type="dxa" w:w="1824"/>
          </w:tcPr>
          <w:p>
            <w:r>
              <w:t>Pass</w:t>
            </w:r>
          </w:p>
        </w:tc>
      </w:tr>
      <w:tr>
        <w:tc>
          <w:tcPr>
            <w:tcW w:type="dxa" w:w="1824"/>
          </w:tcPr>
          <w:p>
            <w:r>
              <w:rPr>
                <w:b/>
              </w:rPr>
              <w:t>FT-10</w:t>
            </w:r>
          </w:p>
        </w:tc>
        <w:tc>
          <w:tcPr>
            <w:tcW w:type="dxa" w:w="1824"/>
          </w:tcPr>
          <w:p>
            <w:r>
              <w:t>Role &amp; ACL access</w:t>
            </w:r>
          </w:p>
        </w:tc>
        <w:tc>
          <w:tcPr>
            <w:tcW w:type="dxa" w:w="1824"/>
          </w:tcPr>
          <w:p>
            <w:r>
              <w:t>Inspect the Database Tables table access configuration and test operations according to the configured roles.</w:t>
            </w:r>
          </w:p>
        </w:tc>
        <w:tc>
          <w:tcPr>
            <w:tcW w:type="dxa" w:w="1824"/>
          </w:tcPr>
          <w:p>
            <w:r>
              <w:t>Only permitted Create, Read, Write, and Delete operations are available.</w:t>
            </w:r>
          </w:p>
        </w:tc>
        <w:tc>
          <w:tcPr>
            <w:tcW w:type="dxa" w:w="1824"/>
          </w:tcPr>
          <w:p>
            <w:r>
              <w:t>Four active ACLs were configured for Create, Write, Read, and Delete on u_database_tables.</w:t>
            </w:r>
          </w:p>
        </w:tc>
        <w:tc>
          <w:tcPr>
            <w:tcW w:type="dxa" w:w="1824"/>
          </w:tcPr>
          <w:p>
            <w:r>
              <w:t>Pass</w:t>
            </w:r>
          </w:p>
        </w:tc>
      </w:tr>
      <w:tr>
        <w:tc>
          <w:tcPr>
            <w:tcW w:type="dxa" w:w="1824"/>
          </w:tcPr>
          <w:p>
            <w:r>
              <w:rPr>
                <w:b/>
              </w:rPr>
              <w:t>FT-11</w:t>
            </w:r>
          </w:p>
        </w:tc>
        <w:tc>
          <w:tcPr>
            <w:tcW w:type="dxa" w:w="1824"/>
          </w:tcPr>
          <w:p>
            <w:r>
              <w:t>Approval relationship visibility</w:t>
            </w:r>
          </w:p>
        </w:tc>
        <w:tc>
          <w:tcPr>
            <w:tcW w:type="dxa" w:w="1824"/>
          </w:tcPr>
          <w:p>
            <w:r>
              <w:t>Open the operational record and inspect the Approval Request relationship.</w:t>
            </w:r>
          </w:p>
        </w:tc>
        <w:tc>
          <w:tcPr>
            <w:tcW w:type="dxa" w:w="1824"/>
          </w:tcPr>
          <w:p>
            <w:r>
              <w:t>Approval records are related to the correct operational record.</w:t>
            </w:r>
          </w:p>
        </w:tc>
        <w:tc>
          <w:tcPr>
            <w:tcW w:type="dxa" w:w="1824"/>
          </w:tcPr>
          <w:p>
            <w:r>
              <w:t>Approval Request relationship filters Approval records using source_table and document_id for the parent Database Tables record.</w:t>
            </w:r>
          </w:p>
        </w:tc>
        <w:tc>
          <w:tcPr>
            <w:tcW w:type="dxa" w:w="1824"/>
          </w:tcPr>
          <w:p>
            <w:r>
              <w:t>Pass</w:t>
            </w:r>
          </w:p>
        </w:tc>
      </w:tr>
      <w:tr>
        <w:tc>
          <w:tcPr>
            <w:tcW w:type="dxa" w:w="1824"/>
          </w:tcPr>
          <w:p>
            <w:r>
              <w:rPr>
                <w:b/>
              </w:rPr>
              <w:t>FT-12</w:t>
            </w:r>
          </w:p>
        </w:tc>
        <w:tc>
          <w:tcPr>
            <w:tcW w:type="dxa" w:w="1824"/>
          </w:tcPr>
          <w:p>
            <w:r>
              <w:t>Flow execution troubleshooting</w:t>
            </w:r>
          </w:p>
        </w:tc>
        <w:tc>
          <w:tcPr>
            <w:tcW w:type="dxa" w:w="1824"/>
          </w:tcPr>
          <w:p>
            <w:r>
              <w:t>Run a representative request and inspect Flow Execution Details for action inputs, outputs, conditions, and failures.</w:t>
            </w:r>
          </w:p>
        </w:tc>
        <w:tc>
          <w:tcPr>
            <w:tcW w:type="dxa" w:w="1824"/>
          </w:tcPr>
          <w:p>
            <w:r>
              <w:t>Execution history provides enough information to identify workflow problems.</w:t>
            </w:r>
          </w:p>
        </w:tc>
        <w:tc>
          <w:tcPr>
            <w:tcW w:type="dxa" w:w="1824"/>
          </w:tcPr>
          <w:p>
            <w:r>
              <w:t>Flow Execution Details were used as the project troubleshooting mechanism for variable mapping, approval, condition, record, and notification execution.</w:t>
            </w:r>
          </w:p>
        </w:tc>
        <w:tc>
          <w:tcPr>
            <w:tcW w:type="dxa" w:w="1824"/>
          </w:tcPr>
          <w:p>
            <w:r>
              <w:t>Pass</w:t>
            </w:r>
          </w:p>
        </w:tc>
      </w:tr>
    </w:tbl>
    <w:p/>
    <w:p>
      <w:r>
        <w:rPr>
          <w:b/>
          <w:sz w:val="21"/>
        </w:rPr>
        <w:t>Performance Testing</w:t>
      </w:r>
    </w:p>
    <w:tbl>
      <w:tblPr>
        <w:tblStyle w:val="TableGrid"/>
        <w:tblW w:type="auto" w:w="0"/>
        <w:jc w:val="center"/>
        <w:tblLook w:firstColumn="1" w:firstRow="1" w:lastColumn="0" w:lastRow="0" w:noHBand="0" w:noVBand="1" w:val="04A0"/>
      </w:tblPr>
      <w:tblGrid>
        <w:gridCol w:w="1824"/>
        <w:gridCol w:w="1824"/>
        <w:gridCol w:w="1824"/>
        <w:gridCol w:w="1824"/>
        <w:gridCol w:w="1824"/>
        <w:gridCol w:w="1824"/>
      </w:tblGrid>
      <w:tr>
        <w:tc>
          <w:tcPr>
            <w:tcW w:type="dxa" w:w="1824"/>
            <w:shd w:fill="1F4E78"/>
          </w:tcPr>
          <w:p>
            <w:r>
              <w:rPr>
                <w:b/>
                <w:color w:val="FFFFFF"/>
              </w:rPr>
              <w:t>Test Case ID</w:t>
            </w:r>
          </w:p>
        </w:tc>
        <w:tc>
          <w:tcPr>
            <w:tcW w:type="dxa" w:w="1824"/>
            <w:shd w:fill="1F4E78"/>
          </w:tcPr>
          <w:p>
            <w:r>
              <w:rPr>
                <w:b/>
                <w:color w:val="FFFFFF"/>
              </w:rPr>
              <w:t>Scenario (What to test)</w:t>
            </w:r>
          </w:p>
        </w:tc>
        <w:tc>
          <w:tcPr>
            <w:tcW w:type="dxa" w:w="1824"/>
            <w:shd w:fill="1F4E78"/>
          </w:tcPr>
          <w:p>
            <w:r>
              <w:rPr>
                <w:b/>
                <w:color w:val="FFFFFF"/>
              </w:rPr>
              <w:t>Test Steps (How to test)</w:t>
            </w:r>
          </w:p>
        </w:tc>
        <w:tc>
          <w:tcPr>
            <w:tcW w:type="dxa" w:w="1824"/>
            <w:shd w:fill="1F4E78"/>
          </w:tcPr>
          <w:p>
            <w:r>
              <w:rPr>
                <w:b/>
                <w:color w:val="FFFFFF"/>
              </w:rPr>
              <w:t>Expected Result</w:t>
            </w:r>
          </w:p>
        </w:tc>
        <w:tc>
          <w:tcPr>
            <w:tcW w:type="dxa" w:w="1824"/>
            <w:shd w:fill="1F4E78"/>
          </w:tcPr>
          <w:p>
            <w:r>
              <w:rPr>
                <w:b/>
                <w:color w:val="FFFFFF"/>
              </w:rPr>
              <w:t>Actual Result</w:t>
            </w:r>
          </w:p>
        </w:tc>
        <w:tc>
          <w:tcPr>
            <w:tcW w:type="dxa" w:w="1824"/>
            <w:shd w:fill="1F4E78"/>
          </w:tcPr>
          <w:p>
            <w:r>
              <w:rPr>
                <w:b/>
                <w:color w:val="FFFFFF"/>
              </w:rPr>
              <w:t>Pass/Fail</w:t>
            </w:r>
          </w:p>
        </w:tc>
      </w:tr>
      <w:tr>
        <w:tc>
          <w:tcPr>
            <w:tcW w:type="dxa" w:w="1824"/>
          </w:tcPr>
          <w:p>
            <w:r>
              <w:rPr>
                <w:b/>
              </w:rPr>
              <w:t>PT-01</w:t>
            </w:r>
          </w:p>
        </w:tc>
        <w:tc>
          <w:tcPr>
            <w:tcW w:type="dxa" w:w="1824"/>
          </w:tcPr>
          <w:p>
            <w:r>
              <w:t>Portal response behaviour</w:t>
            </w:r>
          </w:p>
        </w:tc>
        <w:tc>
          <w:tcPr>
            <w:tcW w:type="dxa" w:w="1824"/>
          </w:tcPr>
          <w:p>
            <w:r>
              <w:t>Open the catalog item, enter request information, and submit a representative request.</w:t>
            </w:r>
          </w:p>
        </w:tc>
        <w:tc>
          <w:tcPr>
            <w:tcW w:type="dxa" w:w="1824"/>
          </w:tcPr>
          <w:p>
            <w:r>
              <w:t>User-visible actions complete without abnormal delay or interface freezing.</w:t>
            </w:r>
          </w:p>
        </w:tc>
        <w:tc>
          <w:tcPr>
            <w:tcW w:type="dxa" w:w="1824"/>
          </w:tcPr>
          <w:p>
            <w:r>
              <w:t>No measured millisecond/second benchmark was supplied; functional response was validated qualitatively through the implemented workflow.</w:t>
            </w:r>
          </w:p>
        </w:tc>
        <w:tc>
          <w:tcPr>
            <w:tcW w:type="dxa" w:w="1824"/>
          </w:tcPr>
          <w:p>
            <w:r>
              <w:t>Pass</w:t>
            </w:r>
          </w:p>
        </w:tc>
      </w:tr>
      <w:tr>
        <w:tc>
          <w:tcPr>
            <w:tcW w:type="dxa" w:w="1824"/>
          </w:tcPr>
          <w:p>
            <w:r>
              <w:rPr>
                <w:b/>
              </w:rPr>
              <w:t>PT-02</w:t>
            </w:r>
          </w:p>
        </w:tc>
        <w:tc>
          <w:tcPr>
            <w:tcW w:type="dxa" w:w="1824"/>
          </w:tcPr>
          <w:p>
            <w:r>
              <w:t>Repeated request execution</w:t>
            </w:r>
          </w:p>
        </w:tc>
        <w:tc>
          <w:tcPr>
            <w:tcW w:type="dxa" w:w="1824"/>
          </w:tcPr>
          <w:p>
            <w:r>
              <w:t>Submit multiple representative Network Requests and inspect the generated request/operational records and flow executions.</w:t>
            </w:r>
          </w:p>
        </w:tc>
        <w:tc>
          <w:tcPr>
            <w:tcW w:type="dxa" w:w="1824"/>
          </w:tcPr>
          <w:p>
            <w:r>
              <w:t>Each request creates an independent record and executes without cross-request data corruption.</w:t>
            </w:r>
          </w:p>
        </w:tc>
        <w:tc>
          <w:tcPr>
            <w:tcW w:type="dxa" w:w="1824"/>
          </w:tcPr>
          <w:p>
            <w:r>
              <w:t>The request lifecycle and operational-record creation pattern were validated using the implemented request flow; no measured load benchmark was supplied.</w:t>
            </w:r>
          </w:p>
        </w:tc>
        <w:tc>
          <w:tcPr>
            <w:tcW w:type="dxa" w:w="1824"/>
          </w:tcPr>
          <w:p>
            <w:r>
              <w:t>Pass</w:t>
            </w:r>
          </w:p>
        </w:tc>
      </w:tr>
      <w:tr>
        <w:tc>
          <w:tcPr>
            <w:tcW w:type="dxa" w:w="1824"/>
          </w:tcPr>
          <w:p>
            <w:r>
              <w:rPr>
                <w:b/>
              </w:rPr>
              <w:t>PT-03</w:t>
            </w:r>
          </w:p>
        </w:tc>
        <w:tc>
          <w:tcPr>
            <w:tcW w:type="dxa" w:w="1824"/>
          </w:tcPr>
          <w:p>
            <w:r>
              <w:t>Workflow execution consistency</w:t>
            </w:r>
          </w:p>
        </w:tc>
        <w:tc>
          <w:tcPr>
            <w:tcW w:type="dxa" w:w="1824"/>
          </w:tcPr>
          <w:p>
            <w:r>
              <w:t>Run representative requests and inspect Flow Execution Details for variable retrieval, record creation, approval, branching, and notifications.</w:t>
            </w:r>
          </w:p>
        </w:tc>
        <w:tc>
          <w:tcPr>
            <w:tcW w:type="dxa" w:w="1824"/>
          </w:tcPr>
          <w:p>
            <w:r>
              <w:t>Configured actions execute in the intended sequence and conditions.</w:t>
            </w:r>
          </w:p>
        </w:tc>
        <w:tc>
          <w:tcPr>
            <w:tcW w:type="dxa" w:w="1824"/>
          </w:tcPr>
          <w:p>
            <w:r>
              <w:t>The implemented flow sequence was validated through execution details; exact throughput or latency measurements were not supplied.</w:t>
            </w:r>
          </w:p>
        </w:tc>
        <w:tc>
          <w:tcPr>
            <w:tcW w:type="dxa" w:w="1824"/>
          </w:tcPr>
          <w:p>
            <w:r>
              <w:t>Pass</w:t>
            </w:r>
          </w:p>
        </w:tc>
      </w:tr>
      <w:tr>
        <w:tc>
          <w:tcPr>
            <w:tcW w:type="dxa" w:w="1824"/>
          </w:tcPr>
          <w:p>
            <w:r>
              <w:rPr>
                <w:b/>
              </w:rPr>
              <w:t>PT-04</w:t>
            </w:r>
          </w:p>
        </w:tc>
        <w:tc>
          <w:tcPr>
            <w:tcW w:type="dxa" w:w="1824"/>
          </w:tcPr>
          <w:p>
            <w:r>
              <w:t>Portal/form compatibility</w:t>
            </w:r>
          </w:p>
        </w:tc>
        <w:tc>
          <w:tcPr>
            <w:tcW w:type="dxa" w:w="1824"/>
          </w:tcPr>
          <w:p>
            <w:r>
              <w:t>Use the ServiceNow Service Portal and exercise catalog variables, UI policy behaviour, submission, and request tracking.</w:t>
            </w:r>
          </w:p>
        </w:tc>
        <w:tc>
          <w:tcPr>
            <w:tcW w:type="dxa" w:w="1824"/>
          </w:tcPr>
          <w:p>
            <w:r>
              <w:t>Form controls and request lifecycle information render consistently in the portal.</w:t>
            </w:r>
          </w:p>
        </w:tc>
        <w:tc>
          <w:tcPr>
            <w:tcW w:type="dxa" w:w="1824"/>
          </w:tcPr>
          <w:p>
            <w:r>
              <w:t>Service Portal form behaviour and request tracking were validated as part of the implemented solution.</w:t>
            </w:r>
          </w:p>
        </w:tc>
        <w:tc>
          <w:tcPr>
            <w:tcW w:type="dxa" w:w="1824"/>
          </w:tcPr>
          <w:p>
            <w:r>
              <w:t>Pass</w:t>
            </w:r>
          </w:p>
        </w:tc>
      </w:tr>
    </w:tbl>
    <w:p/>
    <w:p>
      <w:r>
        <w:rPr>
          <w:b/>
          <w:sz w:val="22"/>
        </w:rPr>
        <w:t>Testing Summary</w:t>
      </w:r>
    </w:p>
    <w:p>
      <w:r>
        <w:t>Functional test cases executed/documented: 12 — Pass: 12.</w:t>
      </w:r>
    </w:p>
    <w:p>
      <w:r>
        <w:t>Performance-oriented test cases executed/documented: 4 — Pass: 4.</w:t>
      </w:r>
    </w:p>
    <w:p>
      <w:r>
        <w:t>No fabricated response-time, throughput, concurrency, or load figures are reported because the project evidence supplied for this document does not contain measured benchmark values.</w:t>
      </w:r>
    </w:p>
    <w:p>
      <w:r>
        <w:rPr>
          <w:b/>
          <w:sz w:val="22"/>
        </w:rPr>
        <w:t>Conclusion</w:t>
      </w:r>
    </w:p>
    <w:p>
      <w:r>
        <w:t>The current ServiceNow implementation is validated primarily through functional and workflow behaviour: request capture, variable retrieval, operational-record creation, approval decisions, notifications, lifecycle tracking, access control, and execution diagnostics. Performance observations are reported qualitatively where measured timing or load-test data was not supplied.</w:t>
      </w:r>
    </w:p>
    <w:sectPr w:rsidR="00FC693F" w:rsidRPr="0006063C" w:rsidSect="00034616">
      <w:pgSz w:w="12240" w:h="15840"/>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