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76" w:lineRule="auto"/>
        <w:jc w:val="center"/>
      </w:pPr>
      <w:r>
        <w:rPr>
          <w:rFonts w:ascii="Arial" w:hAnsi="Arial"/>
          <w:b/>
          <w:i w:val="0"/>
          <w:color w:val="1B365D"/>
          <w:sz w:val="44"/>
        </w:rPr>
        <w:t>SOFTWARE DEVELOPMENT LIFE CYCLE (SDLC)</w:t>
      </w:r>
    </w:p>
    <w:p>
      <w:pPr>
        <w:spacing w:before="0" w:after="480" w:line="276" w:lineRule="auto"/>
        <w:jc w:val="center"/>
      </w:pPr>
      <w:r>
        <w:rPr>
          <w:rFonts w:ascii="Arial" w:hAnsi="Arial"/>
          <w:b w:val="0"/>
          <w:i/>
          <w:color w:val="4A607A"/>
          <w:sz w:val="28"/>
        </w:rPr>
        <w:t>SocialCalc Core Integration &amp; Frontend Bridge Specifications</w:t>
      </w:r>
    </w:p>
    <w:p>
      <w:pPr>
        <w:pBdr>
          <w:bottom w:val="single" w:sz="24" w:space="1" w:color="1B365D"/>
        </w:pBdr>
        <w:spacing w:before="120" w:after="240"/>
      </w:pPr>
    </w:p>
    <w:p>
      <w:pPr>
        <w:spacing w:before="360" w:after="120" w:line="276" w:lineRule="auto"/>
        <w:jc w:val="center"/>
      </w:pPr>
      <w:r>
        <w:rPr>
          <w:rFonts w:ascii="Arial" w:hAnsi="Arial"/>
          <w:b/>
          <w:i w:val="0"/>
          <w:color w:val="222222"/>
          <w:sz w:val="21"/>
        </w:rPr>
        <w:t xml:space="preserve">Application: </w:t>
      </w:r>
      <w:r>
        <w:rPr>
          <w:rFonts w:ascii="Arial" w:hAnsi="Arial"/>
          <w:b w:val="0"/>
          <w:i w:val="0"/>
          <w:color w:val="222222"/>
          <w:sz w:val="21"/>
        </w:rPr>
        <w:t>Invoice MVP Mobile/Tablet Application (Ionic &amp; Capacitor)</w:t>
        <w:br/>
      </w:r>
      <w:r>
        <w:rPr>
          <w:rFonts w:ascii="Arial" w:hAnsi="Arial"/>
          <w:b/>
          <w:i w:val="0"/>
          <w:color w:val="222222"/>
          <w:sz w:val="21"/>
        </w:rPr>
        <w:t xml:space="preserve">Focus Area: </w:t>
      </w:r>
      <w:r>
        <w:rPr>
          <w:rFonts w:ascii="Arial" w:hAnsi="Arial"/>
          <w:b w:val="0"/>
          <w:i w:val="0"/>
          <w:color w:val="222222"/>
          <w:sz w:val="21"/>
        </w:rPr>
        <w:t>Bidirectional Event Bridge &amp; State Management</w:t>
        <w:br/>
      </w:r>
      <w:r>
        <w:rPr>
          <w:rFonts w:ascii="Arial" w:hAnsi="Arial"/>
          <w:b/>
          <w:i w:val="0"/>
          <w:color w:val="222222"/>
          <w:sz w:val="21"/>
        </w:rPr>
        <w:t xml:space="preserve">Doc Version: </w:t>
      </w:r>
      <w:r>
        <w:rPr>
          <w:rFonts w:ascii="Arial" w:hAnsi="Arial"/>
          <w:b w:val="0"/>
          <w:i w:val="0"/>
          <w:color w:val="222222"/>
          <w:sz w:val="21"/>
        </w:rPr>
        <w:t>1.2.0 (Production Stable)</w:t>
        <w:br/>
      </w:r>
      <w:r>
        <w:rPr>
          <w:rFonts w:ascii="Arial" w:hAnsi="Arial"/>
          <w:b/>
          <w:i w:val="0"/>
          <w:color w:val="222222"/>
          <w:sz w:val="21"/>
        </w:rPr>
        <w:t xml:space="preserve">Date: </w:t>
      </w:r>
      <w:r>
        <w:rPr>
          <w:rFonts w:ascii="Arial" w:hAnsi="Arial"/>
          <w:b w:val="0"/>
          <w:i w:val="0"/>
          <w:color w:val="222222"/>
          <w:sz w:val="21"/>
        </w:rPr>
        <w:t>May 2026</w:t>
        <w:br/>
      </w:r>
    </w:p>
    <w:p>
      <w:r>
        <w:br w:type="page"/>
      </w:r>
    </w:p>
    <w:p>
      <w:pPr>
        <w:spacing w:before="360" w:after="120" w:line="276" w:lineRule="auto"/>
      </w:pPr>
      <w:r>
        <w:rPr>
          <w:rFonts w:ascii="Arial" w:hAnsi="Arial"/>
          <w:b/>
          <w:i w:val="0"/>
          <w:color w:val="1B365D"/>
          <w:sz w:val="32"/>
        </w:rPr>
        <w:t>1. EXECUTIVE SUMMARY &amp; SYSTEM OVERVIEW</w:t>
      </w:r>
    </w:p>
    <w:p>
      <w:pPr>
        <w:spacing w:before="0" w:after="120" w:line="276" w:lineRule="auto"/>
      </w:pPr>
      <w:r>
        <w:rPr>
          <w:rFonts w:ascii="Arial" w:hAnsi="Arial"/>
          <w:b w:val="0"/>
          <w:i w:val="0"/>
          <w:color w:val="222222"/>
          <w:sz w:val="21"/>
        </w:rPr>
        <w:t>The Invoice MVP application is a high-performance, offline-first hybrid mobile and tablet application. Built using the Ionic Framework with React and Capacitor, it provides users with instantaneous, server-free invoice customization, automatic total calculations, and PDF generation directly on their device. At the core of the document editing functionality lies SocialCalc, a legacy, pure-JavaScript spreadsheet engine re-architected as a static module to drive spreadsheet rendering and computation. This document details the Software Development Life Cycle (SDLC) governing this integration, highlighting the architectural bridge between legacy spreadsheet events and modern React state-driven components.</w:t>
      </w:r>
    </w:p>
    <w:p>
      <w:pPr>
        <w:spacing w:before="240" w:after="80" w:line="276" w:lineRule="auto"/>
      </w:pPr>
      <w:r>
        <w:rPr>
          <w:rFonts w:ascii="Arial" w:hAnsi="Arial"/>
          <w:b/>
          <w:i w:val="0"/>
          <w:color w:val="4A607A"/>
          <w:sz w:val="26"/>
        </w:rPr>
        <w:t>1.1 Hybrid Storage &amp; Architecture Context</w:t>
      </w:r>
    </w:p>
    <w:p>
      <w:pPr>
        <w:spacing w:before="0" w:after="120" w:line="276" w:lineRule="auto"/>
      </w:pPr>
      <w:r>
        <w:rPr>
          <w:rFonts w:ascii="Arial" w:hAnsi="Arial"/>
          <w:b w:val="0"/>
          <w:i w:val="0"/>
          <w:color w:val="222222"/>
          <w:sz w:val="21"/>
        </w:rPr>
        <w:t>To achieve a true offline-first performance profile, the system divides state and persistence into five structured tiers:</w:t>
      </w:r>
    </w:p>
    <w:p>
      <w:pPr>
        <w:pStyle w:val="ListBullet"/>
        <w:spacing w:before="0" w:after="80" w:line="276" w:lineRule="auto"/>
        <w:ind w:left="360"/>
      </w:pPr>
      <w:r>
        <w:rPr>
          <w:rFonts w:ascii="Arial" w:hAnsi="Arial"/>
          <w:b/>
          <w:i w:val="0"/>
          <w:color w:val="222222"/>
          <w:sz w:val="21"/>
        </w:rPr>
        <w:t xml:space="preserve">1. </w:t>
      </w:r>
      <w:r>
        <w:rPr>
          <w:rFonts w:ascii="Arial" w:hAnsi="Arial"/>
          <w:b w:val="0"/>
          <w:i w:val="0"/>
          <w:color w:val="222222"/>
          <w:sz w:val="21"/>
        </w:rPr>
        <w:t>SQLite Database (Primary Persistence): Uses '@capacitor-community/sqlite' for relational records, storing invoices, customers, inventory items, signatures, and user templates in a consistent database schema.</w:t>
      </w:r>
    </w:p>
    <w:p>
      <w:pPr>
        <w:pStyle w:val="ListBullet"/>
        <w:spacing w:before="0" w:after="80" w:line="276" w:lineRule="auto"/>
        <w:ind w:left="360"/>
      </w:pPr>
      <w:r>
        <w:rPr>
          <w:rFonts w:ascii="Arial" w:hAnsi="Arial"/>
          <w:b/>
          <w:i w:val="0"/>
          <w:color w:val="222222"/>
          <w:sz w:val="21"/>
        </w:rPr>
        <w:t xml:space="preserve">2. </w:t>
      </w:r>
      <w:r>
        <w:rPr>
          <w:rFonts w:ascii="Arial" w:hAnsi="Arial"/>
          <w:b w:val="0"/>
          <w:i w:val="0"/>
          <w:color w:val="222222"/>
          <w:sz w:val="21"/>
        </w:rPr>
        <w:t>localStorage (Application State Sync): Handles temporary, immediate, or global system-level settings, such as the current active theme, active template ID, default currency, and UI panel positions.</w:t>
      </w:r>
    </w:p>
    <w:p>
      <w:pPr>
        <w:pStyle w:val="ListBullet"/>
        <w:spacing w:before="0" w:after="80" w:line="276" w:lineRule="auto"/>
        <w:ind w:left="360"/>
      </w:pPr>
      <w:r>
        <w:rPr>
          <w:rFonts w:ascii="Arial" w:hAnsi="Arial"/>
          <w:b/>
          <w:i w:val="0"/>
          <w:color w:val="222222"/>
          <w:sz w:val="21"/>
        </w:rPr>
        <w:t xml:space="preserve">3. </w:t>
      </w:r>
      <w:r>
        <w:rPr>
          <w:rFonts w:ascii="Arial" w:hAnsi="Arial"/>
          <w:b w:val="0"/>
          <w:i w:val="0"/>
          <w:color w:val="222222"/>
          <w:sz w:val="21"/>
        </w:rPr>
        <w:t>Capacitor Preferences (Legacy Platform Store): Acted as the legacy file system. The initialization framework runs automated database migrations upon first boot to port legacy preferences and logs to SQLite.</w:t>
      </w:r>
    </w:p>
    <w:p>
      <w:pPr>
        <w:pStyle w:val="ListBullet"/>
        <w:spacing w:before="0" w:after="80" w:line="276" w:lineRule="auto"/>
        <w:ind w:left="360"/>
      </w:pPr>
      <w:r>
        <w:rPr>
          <w:rFonts w:ascii="Arial" w:hAnsi="Arial"/>
          <w:b/>
          <w:i w:val="0"/>
          <w:color w:val="222222"/>
          <w:sz w:val="21"/>
        </w:rPr>
        <w:t xml:space="preserve">4. </w:t>
      </w:r>
      <w:r>
        <w:rPr>
          <w:rFonts w:ascii="Arial" w:hAnsi="Arial"/>
          <w:b w:val="0"/>
          <w:i w:val="0"/>
          <w:color w:val="222222"/>
          <w:sz w:val="21"/>
        </w:rPr>
        <w:t>Static Template Files (/public/templates/): Stores predefined, read-only invoice formats. Templates are split into metadata (meta/*.json) for rendering selection screens and structural data (data/*.json) containing pre-configured SocialCalc formulas and cells.</w:t>
      </w:r>
    </w:p>
    <w:p>
      <w:pPr>
        <w:pStyle w:val="ListBullet"/>
        <w:spacing w:before="0" w:after="80" w:line="276" w:lineRule="auto"/>
        <w:ind w:left="360"/>
      </w:pPr>
      <w:r>
        <w:rPr>
          <w:rFonts w:ascii="Arial" w:hAnsi="Arial"/>
          <w:b/>
          <w:i w:val="0"/>
          <w:color w:val="222222"/>
          <w:sz w:val="21"/>
        </w:rPr>
        <w:t xml:space="preserve">5. </w:t>
      </w:r>
      <w:r>
        <w:rPr>
          <w:rFonts w:ascii="Arial" w:hAnsi="Arial"/>
          <w:b w:val="0"/>
          <w:i w:val="0"/>
          <w:color w:val="222222"/>
          <w:sz w:val="21"/>
        </w:rPr>
        <w:t>SocialCalc Runtime Engine: Binds directly to the DOM in a sandboxed, low-overhead container inside the InvoicePage component, managing in-memory spreadsheet state.</w:t>
      </w:r>
    </w:p>
    <w:p>
      <w:pPr>
        <w:pBdr>
          <w:bottom w:val="single" w:sz="8" w:space="1" w:color="4A607A"/>
        </w:pBdr>
        <w:spacing w:before="120" w:after="240"/>
      </w:pPr>
    </w:p>
    <w:p>
      <w:pPr>
        <w:spacing w:before="360" w:after="120" w:line="276" w:lineRule="auto"/>
      </w:pPr>
      <w:r>
        <w:rPr>
          <w:rFonts w:ascii="Arial" w:hAnsi="Arial"/>
          <w:b/>
          <w:i w:val="0"/>
          <w:color w:val="1B365D"/>
          <w:sz w:val="32"/>
        </w:rPr>
        <w:t>2. SOFTWARE DEVELOPMENT LIFE CYCLE (SDLC) PHASES</w:t>
      </w:r>
    </w:p>
    <w:p>
      <w:pPr>
        <w:spacing w:before="0" w:after="120" w:line="276" w:lineRule="auto"/>
      </w:pPr>
      <w:r>
        <w:rPr>
          <w:rFonts w:ascii="Arial" w:hAnsi="Arial"/>
          <w:b w:val="0"/>
          <w:i w:val="0"/>
          <w:color w:val="222222"/>
          <w:sz w:val="21"/>
        </w:rPr>
        <w:t>The development of the Invoice MVP App follows a structured, iterative SDLC workflow. The implementation, testing, and deployment of features are customized to address the complexities of managing a legacy engine within a modern single-page-app framework.</w:t>
      </w:r>
    </w:p>
    <w:p>
      <w:pPr>
        <w:spacing w:before="240" w:after="80" w:line="276" w:lineRule="auto"/>
      </w:pPr>
      <w:r>
        <w:rPr>
          <w:rFonts w:ascii="Arial" w:hAnsi="Arial"/>
          <w:b/>
          <w:i w:val="0"/>
          <w:color w:val="4A607A"/>
          <w:sz w:val="26"/>
        </w:rPr>
        <w:t>2.1 Requirement Analysis &amp; Feasibility</w:t>
      </w:r>
    </w:p>
    <w:p>
      <w:pPr>
        <w:spacing w:before="0" w:after="120" w:line="276" w:lineRule="auto"/>
      </w:pPr>
      <w:r>
        <w:rPr>
          <w:rFonts w:ascii="Arial" w:hAnsi="Arial"/>
          <w:b w:val="0"/>
          <w:i w:val="0"/>
          <w:color w:val="222222"/>
          <w:sz w:val="21"/>
        </w:rPr>
        <w:t>Requirements focus heavily on rendering speed, tablet responsiveness, and local-data guarantees. Key metrics dictate that invoices must load under 100 milliseconds and work without active cellular or internet connections. SocialCalc was selected as the calculation engine because it runs client-side calculations (formulas, cell dependencies) without server roundtrips, ensuring zero calculation lag. However, because SocialCalc's legacy UI elements (native popups, scrollbars, text inputs) are incompatible with touch devices, a hard constraint was set: all user interfaces must be rendered in React/Ionic, using SocialCalc purely as a background computation and layout controller.</w:t>
      </w:r>
    </w:p>
    <w:p>
      <w:pPr>
        <w:spacing w:before="240" w:after="80" w:line="276" w:lineRule="auto"/>
      </w:pPr>
      <w:r>
        <w:rPr>
          <w:rFonts w:ascii="Arial" w:hAnsi="Arial"/>
          <w:b/>
          <w:i w:val="0"/>
          <w:color w:val="4A607A"/>
          <w:sz w:val="26"/>
        </w:rPr>
        <w:t>2.2 System Design &amp; Component Layout</w:t>
      </w:r>
    </w:p>
    <w:p>
      <w:pPr>
        <w:spacing w:before="0" w:after="120" w:line="276" w:lineRule="auto"/>
      </w:pPr>
      <w:r>
        <w:rPr>
          <w:rFonts w:ascii="Arial" w:hAnsi="Arial"/>
          <w:b w:val="0"/>
          <w:i w:val="0"/>
          <w:color w:val="222222"/>
          <w:sz w:val="21"/>
        </w:rPr>
        <w:t>The project decouples frontend views from spreadsheet interactions. Below is the structured software pipeline:</w:t>
      </w:r>
    </w:p>
    <w:p>
      <w:pPr>
        <w:spacing w:before="0" w:after="120" w:line="276" w:lineRule="auto"/>
      </w:pPr>
      <w:r>
        <w:rPr>
          <w:rFonts w:ascii="Arial" w:hAnsi="Arial"/>
          <w:b w:val="0"/>
          <w:i/>
          <w:color w:val="222222"/>
          <w:sz w:val="21"/>
        </w:rPr>
        <w:t>┌────────────────────────────────────────────────────────┐</w:t>
      </w:r>
    </w:p>
    <w:p>
      <w:pPr>
        <w:spacing w:before="0" w:after="120" w:line="276" w:lineRule="auto"/>
      </w:pPr>
      <w:r>
        <w:rPr>
          <w:rFonts w:ascii="Arial" w:hAnsi="Arial"/>
          <w:b w:val="0"/>
          <w:i/>
          <w:color w:val="222222"/>
          <w:sz w:val="21"/>
        </w:rPr>
        <w:t>│                      REACT FRONTEND                    │</w:t>
      </w:r>
    </w:p>
    <w:p>
      <w:pPr>
        <w:spacing w:before="0" w:after="120" w:line="276" w:lineRule="auto"/>
      </w:pPr>
      <w:r>
        <w:rPr>
          <w:rFonts w:ascii="Arial" w:hAnsi="Arial"/>
          <w:b w:val="0"/>
          <w:i/>
          <w:color w:val="222222"/>
          <w:sz w:val="21"/>
        </w:rPr>
        <w:t>│  • InvoicePage.tsx (Active Page, Modal Trigger)         │</w:t>
      </w:r>
    </w:p>
    <w:p>
      <w:pPr>
        <w:spacing w:before="0" w:after="120" w:line="276" w:lineRule="auto"/>
      </w:pPr>
      <w:r>
        <w:rPr>
          <w:rFonts w:ascii="Arial" w:hAnsi="Arial"/>
          <w:b w:val="0"/>
          <w:i/>
          <w:color w:val="222222"/>
          <w:sz w:val="21"/>
        </w:rPr>
        <w:t>│  • InvoiceSidebar.tsx (Entity &amp; Asset List Controller)  │</w:t>
      </w:r>
    </w:p>
    <w:p>
      <w:pPr>
        <w:spacing w:before="0" w:after="120" w:line="276" w:lineRule="auto"/>
      </w:pPr>
      <w:r>
        <w:rPr>
          <w:rFonts w:ascii="Arial" w:hAnsi="Arial"/>
          <w:b w:val="0"/>
          <w:i/>
          <w:color w:val="222222"/>
          <w:sz w:val="21"/>
        </w:rPr>
        <w:t>└───────────┬───────────────────────────▲────────────────┘</w:t>
      </w:r>
    </w:p>
    <w:p>
      <w:pPr>
        <w:spacing w:before="0" w:after="120" w:line="276" w:lineRule="auto"/>
      </w:pPr>
      <w:r>
        <w:rPr>
          <w:rFonts w:ascii="Arial" w:hAnsi="Arial"/>
          <w:b w:val="0"/>
          <w:i/>
          <w:color w:val="222222"/>
          <w:sz w:val="21"/>
        </w:rPr>
        <w:t xml:space="preserve">            │ Command Execution         │ Listeners &amp; Event Bridge</w:t>
      </w:r>
    </w:p>
    <w:p>
      <w:pPr>
        <w:spacing w:before="0" w:after="120" w:line="276" w:lineRule="auto"/>
      </w:pPr>
      <w:r>
        <w:rPr>
          <w:rFonts w:ascii="Arial" w:hAnsi="Arial"/>
          <w:b w:val="0"/>
          <w:i/>
          <w:color w:val="222222"/>
          <w:sz w:val="21"/>
        </w:rPr>
        <w:t xml:space="preserve">            ▼                           │ (socialcalc:cell-edit-request)</w:t>
      </w:r>
    </w:p>
    <w:p>
      <w:pPr>
        <w:spacing w:before="0" w:after="120" w:line="276" w:lineRule="auto"/>
      </w:pPr>
      <w:r>
        <w:rPr>
          <w:rFonts w:ascii="Arial" w:hAnsi="Arial"/>
          <w:b w:val="0"/>
          <w:i/>
          <w:color w:val="222222"/>
          <w:sz w:val="21"/>
        </w:rPr>
        <w:t>┌───────────────────────────────────────┴────────────────┐</w:t>
      </w:r>
    </w:p>
    <w:p>
      <w:pPr>
        <w:spacing w:before="0" w:after="120" w:line="276" w:lineRule="auto"/>
      </w:pPr>
      <w:r>
        <w:rPr>
          <w:rFonts w:ascii="Arial" w:hAnsi="Arial"/>
          <w:b w:val="0"/>
          <w:i/>
          <w:color w:val="222222"/>
          <w:sz w:val="21"/>
        </w:rPr>
        <w:t>│                     SOCIALCALC ENGINE                  │</w:t>
      </w:r>
    </w:p>
    <w:p>
      <w:pPr>
        <w:spacing w:before="0" w:after="120" w:line="276" w:lineRule="auto"/>
      </w:pPr>
      <w:r>
        <w:rPr>
          <w:rFonts w:ascii="Arial" w:hAnsi="Arial"/>
          <w:b w:val="0"/>
          <w:i/>
          <w:color w:val="222222"/>
          <w:sz w:val="21"/>
        </w:rPr>
        <w:t>│  • core/ (Legacy Spreadsheet Core - Read Only)         │</w:t>
      </w:r>
    </w:p>
    <w:p>
      <w:pPr>
        <w:spacing w:before="0" w:after="120" w:line="276" w:lineRule="auto"/>
      </w:pPr>
      <w:r>
        <w:rPr>
          <w:rFonts w:ascii="Arial" w:hAnsi="Arial"/>
          <w:b w:val="0"/>
          <w:i/>
          <w:color w:val="222222"/>
          <w:sz w:val="21"/>
        </w:rPr>
        <w:t>│  • modules/init.js (DOM Bindings &amp; Height Adjuster)   │</w:t>
      </w:r>
    </w:p>
    <w:p>
      <w:pPr>
        <w:spacing w:before="0" w:after="120" w:line="276" w:lineRule="auto"/>
      </w:pPr>
      <w:r>
        <w:rPr>
          <w:rFonts w:ascii="Arial" w:hAnsi="Arial"/>
          <w:b w:val="0"/>
          <w:i/>
          <w:color w:val="222222"/>
          <w:sz w:val="21"/>
        </w:rPr>
        <w:t>│  • modules/listeners.js (Mouse / Key Override Hooks)   │</w:t>
      </w:r>
    </w:p>
    <w:p>
      <w:pPr>
        <w:spacing w:before="0" w:after="240" w:line="276" w:lineRule="auto"/>
      </w:pPr>
      <w:r>
        <w:rPr>
          <w:rFonts w:ascii="Arial" w:hAnsi="Arial"/>
          <w:b w:val="0"/>
          <w:i/>
          <w:color w:val="222222"/>
          <w:sz w:val="21"/>
        </w:rPr>
        <w:t>└────────────────────────────────────────────────────────┘</w:t>
      </w:r>
    </w:p>
    <w:p>
      <w:pPr>
        <w:spacing w:before="240" w:after="80" w:line="276" w:lineRule="auto"/>
      </w:pPr>
      <w:r>
        <w:rPr>
          <w:rFonts w:ascii="Arial" w:hAnsi="Arial"/>
          <w:b/>
          <w:i w:val="0"/>
          <w:color w:val="4A607A"/>
          <w:sz w:val="26"/>
        </w:rPr>
        <w:t>2.3 Implementation &amp; Integration Protocols</w:t>
      </w:r>
    </w:p>
    <w:p>
      <w:pPr>
        <w:spacing w:before="0" w:after="120" w:line="276" w:lineRule="auto"/>
      </w:pPr>
      <w:r>
        <w:rPr>
          <w:rFonts w:ascii="Arial" w:hAnsi="Arial"/>
          <w:b w:val="0"/>
          <w:i w:val="0"/>
          <w:color w:val="222222"/>
          <w:sz w:val="21"/>
        </w:rPr>
        <w:t>A set of strict developer guidelines govern the implementation phase:</w:t>
      </w:r>
    </w:p>
    <w:p>
      <w:pPr>
        <w:pStyle w:val="ListBullet"/>
        <w:spacing w:before="0" w:after="80" w:line="276" w:lineRule="auto"/>
        <w:ind w:left="360"/>
      </w:pPr>
      <w:r>
        <w:rPr>
          <w:rFonts w:ascii="Arial" w:hAnsi="Arial"/>
          <w:b/>
          <w:i w:val="0"/>
          <w:color w:val="222222"/>
          <w:sz w:val="21"/>
        </w:rPr>
        <w:t xml:space="preserve">Rule 1: </w:t>
      </w:r>
      <w:r>
        <w:rPr>
          <w:rFonts w:ascii="Arial" w:hAnsi="Arial"/>
          <w:b w:val="0"/>
          <w:i w:val="0"/>
          <w:color w:val="222222"/>
          <w:sz w:val="21"/>
        </w:rPr>
        <w:t>Zero Engine Modification: Core files inside 'src/components/InvoicePage/socialcalc/core/' are treated as legacy dependencies. They are not modified. Features must be implemented in the 'modules/' wrapper tier.</w:t>
      </w:r>
    </w:p>
    <w:p>
      <w:pPr>
        <w:pStyle w:val="ListBullet"/>
        <w:spacing w:before="0" w:after="80" w:line="276" w:lineRule="auto"/>
        <w:ind w:left="360"/>
      </w:pPr>
      <w:r>
        <w:rPr>
          <w:rFonts w:ascii="Arial" w:hAnsi="Arial"/>
          <w:b/>
          <w:i w:val="0"/>
          <w:color w:val="222222"/>
          <w:sz w:val="21"/>
        </w:rPr>
        <w:t xml:space="preserve">Rule 2: </w:t>
      </w:r>
      <w:r>
        <w:rPr>
          <w:rFonts w:ascii="Arial" w:hAnsi="Arial"/>
          <w:b w:val="0"/>
          <w:i w:val="0"/>
          <w:color w:val="222222"/>
          <w:sz w:val="21"/>
        </w:rPr>
        <w:t>Event Delegation: Communication from SocialCalc to React must utilize custom DOM events dispatched on the global 'window' object, ensuring loose coupling.</w:t>
      </w:r>
    </w:p>
    <w:p>
      <w:pPr>
        <w:pStyle w:val="ListBullet"/>
        <w:spacing w:before="0" w:after="80" w:line="276" w:lineRule="auto"/>
        <w:ind w:left="360"/>
      </w:pPr>
      <w:r>
        <w:rPr>
          <w:rFonts w:ascii="Arial" w:hAnsi="Arial"/>
          <w:b/>
          <w:i w:val="0"/>
          <w:color w:val="222222"/>
          <w:sz w:val="21"/>
        </w:rPr>
        <w:t xml:space="preserve">Rule 3: </w:t>
      </w:r>
      <w:r>
        <w:rPr>
          <w:rFonts w:ascii="Arial" w:hAnsi="Arial"/>
          <w:b w:val="0"/>
          <w:i w:val="0"/>
          <w:color w:val="222222"/>
          <w:sz w:val="21"/>
        </w:rPr>
        <w:t>Clean Resource Deallocation: Any listeners bound by SocialCalc must return cleanup functions. When InvoicePage unmounts, these cleanup functions are executed to prevent memory leaks and ghost events.</w:t>
      </w:r>
    </w:p>
    <w:p>
      <w:pPr>
        <w:spacing w:before="240" w:after="80" w:line="276" w:lineRule="auto"/>
      </w:pPr>
      <w:r>
        <w:rPr>
          <w:rFonts w:ascii="Arial" w:hAnsi="Arial"/>
          <w:b/>
          <w:i w:val="0"/>
          <w:color w:val="4A607A"/>
          <w:sz w:val="26"/>
        </w:rPr>
        <w:t>2.4 Testing &amp; Quality Assurance</w:t>
      </w:r>
    </w:p>
    <w:p>
      <w:pPr>
        <w:spacing w:before="0" w:after="120" w:line="276" w:lineRule="auto"/>
      </w:pPr>
      <w:r>
        <w:rPr>
          <w:rFonts w:ascii="Arial" w:hAnsi="Arial"/>
          <w:b w:val="0"/>
          <w:i w:val="0"/>
          <w:color w:val="222222"/>
          <w:sz w:val="21"/>
        </w:rPr>
        <w:t>Given the offline nature of the application, QA emphasizes state validation and data boundary conditions:</w:t>
      </w:r>
    </w:p>
    <w:p>
      <w:pPr>
        <w:pStyle w:val="ListBullet"/>
        <w:spacing w:before="0" w:after="80" w:line="276" w:lineRule="auto"/>
        <w:ind w:left="360"/>
      </w:pPr>
      <w:r>
        <w:rPr>
          <w:rFonts w:ascii="Arial" w:hAnsi="Arial"/>
          <w:b/>
          <w:i w:val="0"/>
          <w:color w:val="222222"/>
          <w:sz w:val="21"/>
        </w:rPr>
        <w:t xml:space="preserve">Phase A: </w:t>
      </w:r>
      <w:r>
        <w:rPr>
          <w:rFonts w:ascii="Arial" w:hAnsi="Arial"/>
          <w:b w:val="0"/>
          <w:i w:val="0"/>
          <w:color w:val="222222"/>
          <w:sz w:val="21"/>
        </w:rPr>
        <w:t>Unit Testing: Focused on helper functions, repositories, and state migrations. Written using Vitest for fast execution and mock services.</w:t>
      </w:r>
    </w:p>
    <w:p>
      <w:pPr>
        <w:pStyle w:val="ListBullet"/>
        <w:spacing w:before="0" w:after="80" w:line="276" w:lineRule="auto"/>
        <w:ind w:left="360"/>
      </w:pPr>
      <w:r>
        <w:rPr>
          <w:rFonts w:ascii="Arial" w:hAnsi="Arial"/>
          <w:b/>
          <w:i w:val="0"/>
          <w:color w:val="222222"/>
          <w:sz w:val="21"/>
        </w:rPr>
        <w:t xml:space="preserve">Phase B: </w:t>
      </w:r>
      <w:r>
        <w:rPr>
          <w:rFonts w:ascii="Arial" w:hAnsi="Arial"/>
          <w:b w:val="0"/>
          <w:i w:val="0"/>
          <w:color w:val="222222"/>
          <w:sz w:val="21"/>
        </w:rPr>
        <w:t>Platform Simulation: Using Xcode iOS simulators and Android Studio emulators to verify touch target sizing, keyboard overlay behaviors, and hardware back button controls.</w:t>
      </w:r>
    </w:p>
    <w:p>
      <w:pPr>
        <w:pStyle w:val="ListBullet"/>
        <w:spacing w:before="0" w:after="80" w:line="276" w:lineRule="auto"/>
        <w:ind w:left="360"/>
      </w:pPr>
      <w:r>
        <w:rPr>
          <w:rFonts w:ascii="Arial" w:hAnsi="Arial"/>
          <w:b/>
          <w:i w:val="0"/>
          <w:color w:val="222222"/>
          <w:sz w:val="21"/>
        </w:rPr>
        <w:t xml:space="preserve">Phase C: </w:t>
      </w:r>
      <w:r>
        <w:rPr>
          <w:rFonts w:ascii="Arial" w:hAnsi="Arial"/>
          <w:b w:val="0"/>
          <w:i w:val="0"/>
          <w:color w:val="222222"/>
          <w:sz w:val="21"/>
        </w:rPr>
        <w:t>Robustness Checks: Testing storage-quota-exceeded exceptions, database migrations from previous versions, and file integrity when saving large spreadsheets locally.</w:t>
      </w:r>
    </w:p>
    <w:p>
      <w:pPr>
        <w:spacing w:before="240" w:after="80" w:line="276" w:lineRule="auto"/>
      </w:pPr>
      <w:r>
        <w:rPr>
          <w:rFonts w:ascii="Arial" w:hAnsi="Arial"/>
          <w:b/>
          <w:i w:val="0"/>
          <w:color w:val="4A607A"/>
          <w:sz w:val="26"/>
        </w:rPr>
        <w:t>2.5 Deployment, Maintenance &amp; Monitoring</w:t>
      </w:r>
    </w:p>
    <w:p>
      <w:pPr>
        <w:spacing w:before="0" w:after="120" w:line="276" w:lineRule="auto"/>
      </w:pPr>
      <w:r>
        <w:rPr>
          <w:rFonts w:ascii="Arial" w:hAnsi="Arial"/>
          <w:b w:val="0"/>
          <w:i w:val="0"/>
          <w:color w:val="222222"/>
          <w:sz w:val="21"/>
        </w:rPr>
        <w:t>Capacitor bridges the React build to native runtime packages. Code changes trigger native sync tasks via 'npx cap sync'. Maintenance is focused on browser localStorage quota limits (warning users if they approach limits) and database schema migrations.</w:t>
      </w:r>
    </w:p>
    <w:p>
      <w:r>
        <w:br w:type="page"/>
      </w:r>
    </w:p>
    <w:p>
      <w:pPr>
        <w:spacing w:before="360" w:after="120" w:line="276" w:lineRule="auto"/>
      </w:pPr>
      <w:r>
        <w:rPr>
          <w:rFonts w:ascii="Arial" w:hAnsi="Arial"/>
          <w:b/>
          <w:i w:val="0"/>
          <w:color w:val="1B365D"/>
          <w:sz w:val="32"/>
        </w:rPr>
        <w:t>3. DETAILED SOCIALCALC &amp; FRONTEND INTEGRATION ARCHITECTURE</w:t>
      </w:r>
    </w:p>
    <w:p>
      <w:pPr>
        <w:spacing w:before="0" w:after="120" w:line="276" w:lineRule="auto"/>
      </w:pPr>
      <w:r>
        <w:rPr>
          <w:rFonts w:ascii="Arial" w:hAnsi="Arial"/>
          <w:b w:val="0"/>
          <w:i w:val="0"/>
          <w:color w:val="222222"/>
          <w:sz w:val="21"/>
        </w:rPr>
        <w:t>The integration is centered around a bidirectional data bridge. Below is the detailed structural specification explaining how information flows between React components and the SocialCalc spreadsheet engine.</w:t>
      </w:r>
    </w:p>
    <w:p>
      <w:pPr>
        <w:spacing w:before="240" w:after="80" w:line="276" w:lineRule="auto"/>
      </w:pPr>
      <w:r>
        <w:rPr>
          <w:rFonts w:ascii="Arial" w:hAnsi="Arial"/>
          <w:b/>
          <w:i w:val="0"/>
          <w:color w:val="4A607A"/>
          <w:sz w:val="26"/>
        </w:rPr>
        <w:t>3.1 Bidirectional Event-Driven Bridge</w:t>
      </w:r>
    </w:p>
    <w:p>
      <w:pPr>
        <w:spacing w:before="0" w:after="120" w:line="276" w:lineRule="auto"/>
      </w:pPr>
      <w:r>
        <w:rPr>
          <w:rFonts w:ascii="Arial" w:hAnsi="Arial"/>
          <w:b w:val="0"/>
          <w:i w:val="0"/>
          <w:color w:val="222222"/>
          <w:sz w:val="21"/>
        </w:rPr>
        <w:t>To replace the legacy browser prompt interfaces with modern, touch-friendly React modals, a custom bridge was developed. The flow operates as follows:</w:t>
      </w:r>
    </w:p>
    <w:p>
      <w:pPr>
        <w:pStyle w:val="ListBullet"/>
        <w:spacing w:before="0" w:after="80" w:line="276" w:lineRule="auto"/>
        <w:ind w:left="360"/>
      </w:pPr>
      <w:r>
        <w:rPr>
          <w:rFonts w:ascii="Arial" w:hAnsi="Arial"/>
          <w:b/>
          <w:i w:val="0"/>
          <w:color w:val="222222"/>
          <w:sz w:val="21"/>
        </w:rPr>
        <w:t xml:space="preserve">1. </w:t>
      </w:r>
      <w:r>
        <w:rPr>
          <w:rFonts w:ascii="Arial" w:hAnsi="Arial"/>
          <w:b w:val="0"/>
          <w:i w:val="0"/>
          <w:color w:val="222222"/>
          <w:sz w:val="21"/>
        </w:rPr>
        <w:t>User Interaction: A mouse-down or touch tap on the spreadsheet is intercepted by SocialCalc's overridden ProcessEditorMouseDown function (defined in modules/listeners.js).</w:t>
      </w:r>
    </w:p>
    <w:p>
      <w:pPr>
        <w:pStyle w:val="ListBullet"/>
        <w:spacing w:before="0" w:after="80" w:line="276" w:lineRule="auto"/>
        <w:ind w:left="360"/>
      </w:pPr>
      <w:r>
        <w:rPr>
          <w:rFonts w:ascii="Arial" w:hAnsi="Arial"/>
          <w:b/>
          <w:i w:val="0"/>
          <w:color w:val="222222"/>
          <w:sz w:val="21"/>
        </w:rPr>
        <w:t xml:space="preserve">2. </w:t>
      </w:r>
      <w:r>
        <w:rPr>
          <w:rFonts w:ascii="Arial" w:hAnsi="Arial"/>
          <w:b w:val="0"/>
          <w:i w:val="0"/>
          <w:color w:val="222222"/>
          <w:sz w:val="21"/>
        </w:rPr>
        <w:t>Cell Verification: The engine queries 'IsCellEditable(editor)'. If true, it extracts the cell's coordinates and current content, then blocks SocialCalc's native text input display by forcing element blur.</w:t>
      </w:r>
    </w:p>
    <w:p>
      <w:pPr>
        <w:pStyle w:val="ListBullet"/>
        <w:spacing w:before="0" w:after="80" w:line="276" w:lineRule="auto"/>
        <w:ind w:left="360"/>
      </w:pPr>
      <w:r>
        <w:rPr>
          <w:rFonts w:ascii="Arial" w:hAnsi="Arial"/>
          <w:b/>
          <w:i w:val="0"/>
          <w:color w:val="222222"/>
          <w:sz w:val="21"/>
        </w:rPr>
        <w:t xml:space="preserve">3. </w:t>
      </w:r>
      <w:r>
        <w:rPr>
          <w:rFonts w:ascii="Arial" w:hAnsi="Arial"/>
          <w:b w:val="0"/>
          <w:i w:val="0"/>
          <w:color w:val="222222"/>
          <w:sz w:val="21"/>
        </w:rPr>
        <w:t>Event Generation: The engine generates a CustomEvent named 'socialcalc:cell-edit-request'. The event details include the cell's coordinate, current text, an okfn callback, and a cleanup handler.</w:t>
      </w:r>
    </w:p>
    <w:p>
      <w:pPr>
        <w:pStyle w:val="ListBullet"/>
        <w:spacing w:before="0" w:after="80" w:line="276" w:lineRule="auto"/>
        <w:ind w:left="360"/>
      </w:pPr>
      <w:r>
        <w:rPr>
          <w:rFonts w:ascii="Arial" w:hAnsi="Arial"/>
          <w:b/>
          <w:i w:val="0"/>
          <w:color w:val="222222"/>
          <w:sz w:val="21"/>
        </w:rPr>
        <w:t xml:space="preserve">4. </w:t>
      </w:r>
      <w:r>
        <w:rPr>
          <w:rFonts w:ascii="Arial" w:hAnsi="Arial"/>
          <w:b w:val="0"/>
          <w:i w:val="0"/>
          <w:color w:val="222222"/>
          <w:sz w:val="21"/>
        </w:rPr>
        <w:t>React Intervention: InvoicePage.tsx catches the event, extracts the details into state, and opens CellEditModal.tsx. This modal provides a premium, responsive textarea for the user.</w:t>
      </w:r>
    </w:p>
    <w:p>
      <w:pPr>
        <w:pStyle w:val="ListBullet"/>
        <w:spacing w:before="0" w:after="80" w:line="276" w:lineRule="auto"/>
        <w:ind w:left="360"/>
      </w:pPr>
      <w:r>
        <w:rPr>
          <w:rFonts w:ascii="Arial" w:hAnsi="Arial"/>
          <w:b/>
          <w:i w:val="0"/>
          <w:color w:val="222222"/>
          <w:sz w:val="21"/>
        </w:rPr>
        <w:t xml:space="preserve">5. </w:t>
      </w:r>
      <w:r>
        <w:rPr>
          <w:rFonts w:ascii="Arial" w:hAnsi="Arial"/>
          <w:b w:val="0"/>
          <w:i w:val="0"/>
          <w:color w:val="222222"/>
          <w:sz w:val="21"/>
        </w:rPr>
        <w:t>Command Execution: When the user confirms, React triggers okfn(newValue). This callback generates a SocialCalc command (e.g., 'set A10 text t [value]' or 'set B12 value n [number]'), pushes it via ExecuteWorkBookControlCommand, and requests a recalculation.</w:t>
      </w:r>
    </w:p>
    <w:p>
      <w:pPr>
        <w:pStyle w:val="ListBullet"/>
        <w:spacing w:before="0" w:after="80" w:line="276" w:lineRule="auto"/>
        <w:ind w:left="360"/>
      </w:pPr>
      <w:r>
        <w:rPr>
          <w:rFonts w:ascii="Arial" w:hAnsi="Arial"/>
          <w:b/>
          <w:i w:val="0"/>
          <w:color w:val="222222"/>
          <w:sz w:val="21"/>
        </w:rPr>
        <w:t xml:space="preserve">6. </w:t>
      </w:r>
      <w:r>
        <w:rPr>
          <w:rFonts w:ascii="Arial" w:hAnsi="Arial"/>
          <w:b w:val="0"/>
          <w:i w:val="0"/>
          <w:color w:val="222222"/>
          <w:sz w:val="21"/>
        </w:rPr>
        <w:t>Cleanup: The custom event's cleanup method is triggered to unhighlight the cell, restore focus borders, and reset internal pointers in SocialCalc.</w:t>
      </w:r>
    </w:p>
    <w:p>
      <w:pPr>
        <w:spacing w:before="240" w:after="80" w:line="276" w:lineRule="auto"/>
      </w:pPr>
      <w:r>
        <w:rPr>
          <w:rFonts w:ascii="Arial" w:hAnsi="Arial"/>
          <w:b/>
          <w:i w:val="0"/>
          <w:color w:val="4A607A"/>
          <w:sz w:val="26"/>
        </w:rPr>
        <w:t>3.2 Sidebar Asset &amp; Entity Mapping Logic</w:t>
      </w:r>
    </w:p>
    <w:p>
      <w:pPr>
        <w:spacing w:before="0" w:after="120" w:line="276" w:lineRule="auto"/>
      </w:pPr>
      <w:r>
        <w:rPr>
          <w:rFonts w:ascii="Arial" w:hAnsi="Arial"/>
          <w:b w:val="0"/>
          <w:i w:val="0"/>
          <w:color w:val="222222"/>
          <w:sz w:val="21"/>
        </w:rPr>
        <w:t>The InvoiceSidebar allows users to tap static entities (Business Addresses, Inventory Items, Logos, Signatures) and inject them into the spreadsheet at pre-defined locations specified by the template's 'appMapping' configuration.</w:t>
      </w:r>
    </w:p>
    <w:p>
      <w:pPr>
        <w:spacing w:before="160" w:after="40" w:line="276" w:lineRule="auto"/>
      </w:pPr>
      <w:r>
        <w:rPr>
          <w:rFonts w:ascii="Arial" w:hAnsi="Arial"/>
          <w:b/>
          <w:i/>
          <w:color w:val="222222"/>
          <w:sz w:val="23"/>
        </w:rPr>
        <w:t>A. Business Address Insertion</w:t>
      </w:r>
    </w:p>
    <w:p>
      <w:pPr>
        <w:spacing w:before="0" w:after="120" w:line="276" w:lineRule="auto"/>
      </w:pPr>
      <w:r>
        <w:rPr>
          <w:rFonts w:ascii="Arial" w:hAnsi="Arial"/>
          <w:b w:val="0"/>
          <w:i w:val="0"/>
          <w:color w:val="222222"/>
          <w:sz w:val="21"/>
        </w:rPr>
        <w:t>The system checks the template's mapping under the current sheet name. If the template defines a structured form, individual fields (label, streetAddress, cityStateZip, phone, email) are written to their respective mapped cells. If a structured form is not defined, the system falls back to a single-cell mapping, joining the components into a comma-separated string and writing it to the single defined target address cell.</w:t>
      </w:r>
    </w:p>
    <w:p>
      <w:pPr>
        <w:spacing w:before="160" w:after="40" w:line="276" w:lineRule="auto"/>
      </w:pPr>
      <w:r>
        <w:rPr>
          <w:rFonts w:ascii="Arial" w:hAnsi="Arial"/>
          <w:b/>
          <w:i/>
          <w:color w:val="222222"/>
          <w:sz w:val="23"/>
        </w:rPr>
        <w:t>B. Dynamic Inventory Item Insertion</w:t>
      </w:r>
    </w:p>
    <w:p>
      <w:pPr>
        <w:spacing w:before="0" w:after="120" w:line="276" w:lineRule="auto"/>
      </w:pPr>
      <w:r>
        <w:rPr>
          <w:rFonts w:ascii="Arial" w:hAnsi="Arial"/>
          <w:b w:val="0"/>
          <w:i w:val="0"/>
          <w:color w:val="222222"/>
          <w:sz w:val="21"/>
        </w:rPr>
        <w:t>When inserting items, the system searches the template's mapping for an entity of type 'table'. It determines the boundary range (start row to end row) and scans the primary description column to find the first empty row. If an empty row is available, it inspects the mapped columns. If the template contains distinct columns for Quantity and Price, it writes to them individually ('Detailed Mode'). If those columns are absent, it merges description and quantity into a single text cell and calculates the final total directly in React before writing it to the amount cell ('Compact Mode'). All command sets are executed in a single batch script to maximize performance.</w:t>
      </w:r>
    </w:p>
    <w:p>
      <w:pPr>
        <w:spacing w:before="160" w:after="40" w:line="276" w:lineRule="auto"/>
      </w:pPr>
      <w:r>
        <w:rPr>
          <w:rFonts w:ascii="Arial" w:hAnsi="Arial"/>
          <w:b/>
          <w:i/>
          <w:color w:val="222222"/>
          <w:sz w:val="23"/>
        </w:rPr>
        <w:t>C. Logo &amp; Signature Base64 Injection</w:t>
      </w:r>
    </w:p>
    <w:p>
      <w:pPr>
        <w:spacing w:before="0" w:after="120" w:line="276" w:lineRule="auto"/>
      </w:pPr>
      <w:r>
        <w:rPr>
          <w:rFonts w:ascii="Arial" w:hAnsi="Arial"/>
          <w:b w:val="0"/>
          <w:i w:val="0"/>
          <w:color w:val="222222"/>
          <w:sz w:val="21"/>
        </w:rPr>
        <w:t>Logos and signatures are loaded as Base64 strings from SQLite. The app calls AppGeneral.addLogo() and AppGeneral.removeLogo() to map the images directly onto sheet coordinates. SocialCalc registers these assets as overlay graphics, saving their Base64 representations inside the workbook save format (msc) for persistence.</w:t>
      </w:r>
    </w:p>
    <w:p>
      <w:r>
        <w:br w:type="page"/>
      </w:r>
    </w:p>
    <w:p>
      <w:pPr>
        <w:spacing w:before="360" w:after="120" w:line="276" w:lineRule="auto"/>
      </w:pPr>
      <w:r>
        <w:rPr>
          <w:rFonts w:ascii="Arial" w:hAnsi="Arial"/>
          <w:b/>
          <w:i w:val="0"/>
          <w:color w:val="1B365D"/>
          <w:sz w:val="32"/>
        </w:rPr>
        <w:t>4. SPECIFICATIONS APPENDIX &amp; REFERENCE TABLES</w:t>
      </w:r>
    </w:p>
    <w:p>
      <w:pPr>
        <w:spacing w:before="0" w:after="120" w:line="276" w:lineRule="auto"/>
      </w:pPr>
      <w:r>
        <w:rPr>
          <w:rFonts w:ascii="Arial" w:hAnsi="Arial"/>
          <w:b w:val="0"/>
          <w:i w:val="0"/>
          <w:color w:val="222222"/>
          <w:sz w:val="21"/>
        </w:rPr>
        <w:t>This section compiles reference material and specifications for engineers maintaining the integration bridge.</w:t>
      </w:r>
    </w:p>
    <w:p>
      <w:pPr>
        <w:spacing w:before="0" w:after="360" w:line="276" w:lineRule="auto"/>
      </w:pPr>
      <w:r>
        <w:rPr>
          <w:rFonts w:ascii="Arial" w:hAnsi="Arial"/>
          <w:b/>
          <w:i w:val="0"/>
          <w:color w:val="4A607A"/>
          <w:sz w:val="26"/>
        </w:rPr>
        <w:t>4.1 Core Integration File Registry</w:t>
      </w:r>
    </w:p>
    <w:tbl>
      <w:tblPr>
        <w:tblW w:type="auto" w:w="0"/>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3120"/>
            <w:shd w:fill="1B365D"/>
            <w:tcMar>
              <w:top w:w="100" w:type="dxa"/>
              <w:bottom w:w="100" w:type="dxa"/>
              <w:left w:w="150" w:type="dxa"/>
              <w:right w:w="150" w:type="dxa"/>
            </w:tcMar>
          </w:tcPr>
          <w:p>
            <w:pPr>
              <w:jc w:val="left"/>
            </w:pPr>
            <w:r>
              <w:rPr>
                <w:rFonts w:ascii="Arial" w:hAnsi="Arial"/>
                <w:b/>
                <w:i w:val="0"/>
                <w:color w:val="FFFFFF"/>
                <w:sz w:val="21"/>
              </w:rPr>
              <w:t>Source File</w:t>
            </w:r>
          </w:p>
        </w:tc>
        <w:tc>
          <w:tcPr>
            <w:tcW w:type="dxa" w:w="3120"/>
            <w:shd w:fill="1B365D"/>
            <w:tcMar>
              <w:top w:w="100" w:type="dxa"/>
              <w:bottom w:w="100" w:type="dxa"/>
              <w:left w:w="150" w:type="dxa"/>
              <w:right w:w="150" w:type="dxa"/>
            </w:tcMar>
          </w:tcPr>
          <w:p>
            <w:pPr>
              <w:jc w:val="left"/>
            </w:pPr>
            <w:r>
              <w:rPr>
                <w:rFonts w:ascii="Arial" w:hAnsi="Arial"/>
                <w:b/>
                <w:i w:val="0"/>
                <w:color w:val="FFFFFF"/>
                <w:sz w:val="21"/>
              </w:rPr>
              <w:t>Scope</w:t>
            </w:r>
          </w:p>
        </w:tc>
        <w:tc>
          <w:tcPr>
            <w:tcW w:type="dxa" w:w="3120"/>
            <w:shd w:fill="1B365D"/>
            <w:tcMar>
              <w:top w:w="100" w:type="dxa"/>
              <w:bottom w:w="100" w:type="dxa"/>
              <w:left w:w="150" w:type="dxa"/>
              <w:right w:w="150" w:type="dxa"/>
            </w:tcMar>
          </w:tcPr>
          <w:p>
            <w:pPr>
              <w:jc w:val="left"/>
            </w:pPr>
            <w:r>
              <w:rPr>
                <w:rFonts w:ascii="Arial" w:hAnsi="Arial"/>
                <w:b/>
                <w:i w:val="0"/>
                <w:color w:val="FFFFFF"/>
                <w:sz w:val="21"/>
              </w:rPr>
              <w:t>Integration Responsibility</w:t>
            </w:r>
          </w:p>
        </w:tc>
      </w:tr>
      <w:tr>
        <w:tc>
          <w:tcPr>
            <w:tcW w:type="dxa" w:w="3120"/>
            <w:shd w:fill="FFFFFF"/>
            <w:tcMar>
              <w:top w:w="100" w:type="dxa"/>
              <w:bottom w:w="100" w:type="dxa"/>
              <w:left w:w="150" w:type="dxa"/>
              <w:right w:w="150" w:type="dxa"/>
            </w:tcMar>
          </w:tcPr>
          <w:p>
            <w:pPr>
              <w:jc w:val="left"/>
            </w:pPr>
            <w:r>
              <w:rPr>
                <w:rFonts w:ascii="Arial" w:hAnsi="Arial"/>
                <w:b/>
                <w:i w:val="0"/>
                <w:color w:val="1B365D"/>
                <w:sz w:val="19"/>
              </w:rPr>
              <w:t>InvoicePage.tsx</w:t>
            </w:r>
          </w:p>
        </w:tc>
        <w:tc>
          <w:tcPr>
            <w:tcW w:type="dxa" w:w="3120"/>
            <w:shd w:fill="FFFFFF"/>
            <w:tcMar>
              <w:top w:w="100" w:type="dxa"/>
              <w:bottom w:w="100" w:type="dxa"/>
              <w:left w:w="150" w:type="dxa"/>
              <w:right w:w="150" w:type="dxa"/>
            </w:tcMar>
          </w:tcPr>
          <w:p>
            <w:pPr>
              <w:jc w:val="left"/>
            </w:pPr>
            <w:r>
              <w:rPr>
                <w:rFonts w:ascii="Arial" w:hAnsi="Arial"/>
                <w:b w:val="0"/>
                <w:i w:val="0"/>
                <w:color w:val="222222"/>
                <w:sz w:val="19"/>
              </w:rPr>
              <w:t>React View</w:t>
            </w:r>
          </w:p>
        </w:tc>
        <w:tc>
          <w:tcPr>
            <w:tcW w:type="dxa" w:w="3120"/>
            <w:shd w:fill="FFFFFF"/>
            <w:tcMar>
              <w:top w:w="100" w:type="dxa"/>
              <w:bottom w:w="100" w:type="dxa"/>
              <w:left w:w="150" w:type="dxa"/>
              <w:right w:w="150" w:type="dxa"/>
            </w:tcMar>
          </w:tcPr>
          <w:p>
            <w:pPr>
              <w:jc w:val="left"/>
            </w:pPr>
            <w:r>
              <w:rPr>
                <w:rFonts w:ascii="Arial" w:hAnsi="Arial"/>
                <w:b w:val="0"/>
                <w:i w:val="0"/>
                <w:color w:val="222222"/>
                <w:sz w:val="19"/>
              </w:rPr>
              <w:t>Manages lifecycle, listens for cell edit events, opens modals, and executes save/load transactions.</w:t>
            </w:r>
          </w:p>
        </w:tc>
      </w:tr>
      <w:tr>
        <w:tc>
          <w:tcPr>
            <w:tcW w:type="dxa" w:w="3120"/>
            <w:shd w:fill="F2F5F8"/>
            <w:tcMar>
              <w:top w:w="100" w:type="dxa"/>
              <w:bottom w:w="100" w:type="dxa"/>
              <w:left w:w="150" w:type="dxa"/>
              <w:right w:w="150" w:type="dxa"/>
            </w:tcMar>
          </w:tcPr>
          <w:p>
            <w:pPr>
              <w:jc w:val="left"/>
            </w:pPr>
            <w:r>
              <w:rPr>
                <w:rFonts w:ascii="Arial" w:hAnsi="Arial"/>
                <w:b/>
                <w:i w:val="0"/>
                <w:color w:val="1B365D"/>
                <w:sz w:val="19"/>
              </w:rPr>
              <w:t>InvoiceSidebar.tsx</w:t>
            </w:r>
          </w:p>
        </w:tc>
        <w:tc>
          <w:tcPr>
            <w:tcW w:type="dxa" w:w="3120"/>
            <w:shd w:fill="F2F5F8"/>
            <w:tcMar>
              <w:top w:w="100" w:type="dxa"/>
              <w:bottom w:w="100" w:type="dxa"/>
              <w:left w:w="150" w:type="dxa"/>
              <w:right w:w="150" w:type="dxa"/>
            </w:tcMar>
          </w:tcPr>
          <w:p>
            <w:pPr>
              <w:jc w:val="left"/>
            </w:pPr>
            <w:r>
              <w:rPr>
                <w:rFonts w:ascii="Arial" w:hAnsi="Arial"/>
                <w:b w:val="0"/>
                <w:i w:val="0"/>
                <w:color w:val="222222"/>
                <w:sz w:val="19"/>
              </w:rPr>
              <w:t>React Component</w:t>
            </w:r>
          </w:p>
        </w:tc>
        <w:tc>
          <w:tcPr>
            <w:tcW w:type="dxa" w:w="3120"/>
            <w:shd w:fill="F2F5F8"/>
            <w:tcMar>
              <w:top w:w="100" w:type="dxa"/>
              <w:bottom w:w="100" w:type="dxa"/>
              <w:left w:w="150" w:type="dxa"/>
              <w:right w:w="150" w:type="dxa"/>
            </w:tcMar>
          </w:tcPr>
          <w:p>
            <w:pPr>
              <w:jc w:val="left"/>
            </w:pPr>
            <w:r>
              <w:rPr>
                <w:rFonts w:ascii="Arial" w:hAnsi="Arial"/>
                <w:b w:val="0"/>
                <w:i w:val="0"/>
                <w:color w:val="222222"/>
                <w:sz w:val="19"/>
              </w:rPr>
              <w:t>Retrieves local address, item, and logo assets, sending insertion payloads to application callbacks.</w:t>
            </w:r>
          </w:p>
        </w:tc>
      </w:tr>
      <w:tr>
        <w:tc>
          <w:tcPr>
            <w:tcW w:type="dxa" w:w="3120"/>
            <w:shd w:fill="FFFFFF"/>
            <w:tcMar>
              <w:top w:w="100" w:type="dxa"/>
              <w:bottom w:w="100" w:type="dxa"/>
              <w:left w:w="150" w:type="dxa"/>
              <w:right w:w="150" w:type="dxa"/>
            </w:tcMar>
          </w:tcPr>
          <w:p>
            <w:pPr>
              <w:jc w:val="left"/>
            </w:pPr>
            <w:r>
              <w:rPr>
                <w:rFonts w:ascii="Arial" w:hAnsi="Arial"/>
                <w:b/>
                <w:i w:val="0"/>
                <w:color w:val="1B365D"/>
                <w:sz w:val="19"/>
              </w:rPr>
              <w:t>modules/listeners.js</w:t>
            </w:r>
          </w:p>
        </w:tc>
        <w:tc>
          <w:tcPr>
            <w:tcW w:type="dxa" w:w="3120"/>
            <w:shd w:fill="FFFFFF"/>
            <w:tcMar>
              <w:top w:w="100" w:type="dxa"/>
              <w:bottom w:w="100" w:type="dxa"/>
              <w:left w:w="150" w:type="dxa"/>
              <w:right w:w="150" w:type="dxa"/>
            </w:tcMar>
          </w:tcPr>
          <w:p>
            <w:pPr>
              <w:jc w:val="left"/>
            </w:pPr>
            <w:r>
              <w:rPr>
                <w:rFonts w:ascii="Arial" w:hAnsi="Arial"/>
                <w:b w:val="0"/>
                <w:i w:val="0"/>
                <w:color w:val="222222"/>
                <w:sz w:val="19"/>
              </w:rPr>
              <w:t>SocialCalc Module</w:t>
            </w:r>
          </w:p>
        </w:tc>
        <w:tc>
          <w:tcPr>
            <w:tcW w:type="dxa" w:w="3120"/>
            <w:shd w:fill="FFFFFF"/>
            <w:tcMar>
              <w:top w:w="100" w:type="dxa"/>
              <w:bottom w:w="100" w:type="dxa"/>
              <w:left w:w="150" w:type="dxa"/>
              <w:right w:w="150" w:type="dxa"/>
            </w:tcMar>
          </w:tcPr>
          <w:p>
            <w:pPr>
              <w:jc w:val="left"/>
            </w:pPr>
            <w:r>
              <w:rPr>
                <w:rFonts w:ascii="Arial" w:hAnsi="Arial"/>
                <w:b w:val="0"/>
                <w:i w:val="0"/>
                <w:color w:val="222222"/>
                <w:sz w:val="19"/>
              </w:rPr>
              <w:t>Intercepts browser touch/mouse actions and keypresses to override default browser inputs.</w:t>
            </w:r>
          </w:p>
        </w:tc>
      </w:tr>
      <w:tr>
        <w:tc>
          <w:tcPr>
            <w:tcW w:type="dxa" w:w="3120"/>
            <w:shd w:fill="F2F5F8"/>
            <w:tcMar>
              <w:top w:w="100" w:type="dxa"/>
              <w:bottom w:w="100" w:type="dxa"/>
              <w:left w:w="150" w:type="dxa"/>
              <w:right w:w="150" w:type="dxa"/>
            </w:tcMar>
          </w:tcPr>
          <w:p>
            <w:pPr>
              <w:jc w:val="left"/>
            </w:pPr>
            <w:r>
              <w:rPr>
                <w:rFonts w:ascii="Arial" w:hAnsi="Arial"/>
                <w:b/>
                <w:i w:val="0"/>
                <w:color w:val="1B365D"/>
                <w:sz w:val="19"/>
              </w:rPr>
              <w:t>modules/prompts.js</w:t>
            </w:r>
          </w:p>
        </w:tc>
        <w:tc>
          <w:tcPr>
            <w:tcW w:type="dxa" w:w="3120"/>
            <w:shd w:fill="F2F5F8"/>
            <w:tcMar>
              <w:top w:w="100" w:type="dxa"/>
              <w:bottom w:w="100" w:type="dxa"/>
              <w:left w:w="150" w:type="dxa"/>
              <w:right w:w="150" w:type="dxa"/>
            </w:tcMar>
          </w:tcPr>
          <w:p>
            <w:pPr>
              <w:jc w:val="left"/>
            </w:pPr>
            <w:r>
              <w:rPr>
                <w:rFonts w:ascii="Arial" w:hAnsi="Arial"/>
                <w:b w:val="0"/>
                <w:i w:val="0"/>
                <w:color w:val="222222"/>
                <w:sz w:val="19"/>
              </w:rPr>
              <w:t>SocialCalc Module</w:t>
            </w:r>
          </w:p>
        </w:tc>
        <w:tc>
          <w:tcPr>
            <w:tcW w:type="dxa" w:w="3120"/>
            <w:shd w:fill="F2F5F8"/>
            <w:tcMar>
              <w:top w:w="100" w:type="dxa"/>
              <w:bottom w:w="100" w:type="dxa"/>
              <w:left w:w="150" w:type="dxa"/>
              <w:right w:w="150" w:type="dxa"/>
            </w:tcMar>
          </w:tcPr>
          <w:p>
            <w:pPr>
              <w:jc w:val="left"/>
            </w:pPr>
            <w:r>
              <w:rPr>
                <w:rFonts w:ascii="Arial" w:hAnsi="Arial"/>
                <w:b w:val="0"/>
                <w:i w:val="0"/>
                <w:color w:val="222222"/>
                <w:sz w:val="19"/>
              </w:rPr>
              <w:t>Contains the enhancedShowPrompt logic that formats values and triggers custom DOM events.</w:t>
            </w:r>
          </w:p>
        </w:tc>
      </w:tr>
      <w:tr>
        <w:tc>
          <w:tcPr>
            <w:tcW w:type="dxa" w:w="3120"/>
            <w:shd w:fill="FFFFFF"/>
            <w:tcMar>
              <w:top w:w="100" w:type="dxa"/>
              <w:bottom w:w="100" w:type="dxa"/>
              <w:left w:w="150" w:type="dxa"/>
              <w:right w:w="150" w:type="dxa"/>
            </w:tcMar>
          </w:tcPr>
          <w:p>
            <w:pPr>
              <w:jc w:val="left"/>
            </w:pPr>
            <w:r>
              <w:rPr>
                <w:rFonts w:ascii="Arial" w:hAnsi="Arial"/>
                <w:b/>
                <w:i w:val="0"/>
                <w:color w:val="1B365D"/>
                <w:sz w:val="19"/>
              </w:rPr>
              <w:t>modules/init.js</w:t>
            </w:r>
          </w:p>
        </w:tc>
        <w:tc>
          <w:tcPr>
            <w:tcW w:type="dxa" w:w="3120"/>
            <w:shd w:fill="FFFFFF"/>
            <w:tcMar>
              <w:top w:w="100" w:type="dxa"/>
              <w:bottom w:w="100" w:type="dxa"/>
              <w:left w:w="150" w:type="dxa"/>
              <w:right w:w="150" w:type="dxa"/>
            </w:tcMar>
          </w:tcPr>
          <w:p>
            <w:pPr>
              <w:jc w:val="left"/>
            </w:pPr>
            <w:r>
              <w:rPr>
                <w:rFonts w:ascii="Arial" w:hAnsi="Arial"/>
                <w:b w:val="0"/>
                <w:i w:val="0"/>
                <w:color w:val="222222"/>
                <w:sz w:val="19"/>
              </w:rPr>
              <w:t>SocialCalc Module</w:t>
            </w:r>
          </w:p>
        </w:tc>
        <w:tc>
          <w:tcPr>
            <w:tcW w:type="dxa" w:w="3120"/>
            <w:shd w:fill="FFFFFF"/>
            <w:tcMar>
              <w:top w:w="100" w:type="dxa"/>
              <w:bottom w:w="100" w:type="dxa"/>
              <w:left w:w="150" w:type="dxa"/>
              <w:right w:w="150" w:type="dxa"/>
            </w:tcMar>
          </w:tcPr>
          <w:p>
            <w:pPr>
              <w:jc w:val="left"/>
            </w:pPr>
            <w:r>
              <w:rPr>
                <w:rFonts w:ascii="Arial" w:hAnsi="Arial"/>
                <w:b w:val="0"/>
                <w:i w:val="0"/>
                <w:color w:val="222222"/>
                <w:sz w:val="19"/>
              </w:rPr>
              <w:t>Coordinates DOM element binding, initializes the spreadsheet instance, and sets mobile heights.</w:t>
            </w:r>
          </w:p>
        </w:tc>
      </w:tr>
      <w:tr>
        <w:tc>
          <w:tcPr>
            <w:tcW w:type="dxa" w:w="3120"/>
            <w:shd w:fill="F2F5F8"/>
            <w:tcMar>
              <w:top w:w="100" w:type="dxa"/>
              <w:bottom w:w="100" w:type="dxa"/>
              <w:left w:w="150" w:type="dxa"/>
              <w:right w:w="150" w:type="dxa"/>
            </w:tcMar>
          </w:tcPr>
          <w:p>
            <w:pPr>
              <w:jc w:val="left"/>
            </w:pPr>
            <w:r>
              <w:rPr>
                <w:rFonts w:ascii="Arial" w:hAnsi="Arial"/>
                <w:b/>
                <w:i w:val="0"/>
                <w:color w:val="1B365D"/>
                <w:sz w:val="19"/>
              </w:rPr>
              <w:t>utils/sheetChangeMonitor.ts</w:t>
            </w:r>
          </w:p>
        </w:tc>
        <w:tc>
          <w:tcPr>
            <w:tcW w:type="dxa" w:w="3120"/>
            <w:shd w:fill="F2F5F8"/>
            <w:tcMar>
              <w:top w:w="100" w:type="dxa"/>
              <w:bottom w:w="100" w:type="dxa"/>
              <w:left w:w="150" w:type="dxa"/>
              <w:right w:w="150" w:type="dxa"/>
            </w:tcMar>
          </w:tcPr>
          <w:p>
            <w:pPr>
              <w:jc w:val="left"/>
            </w:pPr>
            <w:r>
              <w:rPr>
                <w:rFonts w:ascii="Arial" w:hAnsi="Arial"/>
                <w:b w:val="0"/>
                <w:i w:val="0"/>
                <w:color w:val="222222"/>
                <w:sz w:val="19"/>
              </w:rPr>
              <w:t>TypeScript Util</w:t>
            </w:r>
          </w:p>
        </w:tc>
        <w:tc>
          <w:tcPr>
            <w:tcW w:type="dxa" w:w="3120"/>
            <w:shd w:fill="F2F5F8"/>
            <w:tcMar>
              <w:top w:w="100" w:type="dxa"/>
              <w:bottom w:w="100" w:type="dxa"/>
              <w:left w:w="150" w:type="dxa"/>
              <w:right w:w="150" w:type="dxa"/>
            </w:tcMar>
          </w:tcPr>
          <w:p>
            <w:pPr>
              <w:jc w:val="left"/>
            </w:pPr>
            <w:r>
              <w:rPr>
                <w:rFonts w:ascii="Arial" w:hAnsi="Arial"/>
                <w:b w:val="0"/>
                <w:i w:val="0"/>
                <w:color w:val="222222"/>
                <w:sz w:val="19"/>
              </w:rPr>
              <w:t>Polls SocialCalc at 500ms intervals to identify active tab switches and sync React state.</w:t>
            </w:r>
          </w:p>
        </w:tc>
      </w:tr>
    </w:tbl>
    <w:p>
      <w:pPr>
        <w:spacing w:before="240" w:after="80" w:line="276" w:lineRule="auto"/>
      </w:pPr>
      <w:r>
        <w:rPr>
          <w:rFonts w:ascii="Arial" w:hAnsi="Arial"/>
          <w:b/>
          <w:i w:val="0"/>
          <w:color w:val="4A607A"/>
          <w:sz w:val="26"/>
        </w:rPr>
        <w:t>4.2 Cell Edit Request Payload Structure</w:t>
      </w:r>
    </w:p>
    <w:p>
      <w:pPr>
        <w:spacing w:before="0" w:after="360" w:line="276" w:lineRule="auto"/>
      </w:pPr>
      <w:r>
        <w:rPr>
          <w:rFonts w:ascii="Arial" w:hAnsi="Arial"/>
          <w:b w:val="0"/>
          <w:i w:val="0"/>
          <w:color w:val="222222"/>
          <w:sz w:val="21"/>
        </w:rPr>
        <w:t>The CustomEvent 'socialcalc:cell-edit-request' carries a detail object structured as follows:</w:t>
      </w:r>
    </w:p>
    <w:tbl>
      <w:tblPr>
        <w:tblW w:type="auto" w:w="0"/>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3120"/>
            <w:shd w:fill="1B365D"/>
            <w:tcMar>
              <w:top w:w="100" w:type="dxa"/>
              <w:bottom w:w="100" w:type="dxa"/>
              <w:left w:w="150" w:type="dxa"/>
              <w:right w:w="150" w:type="dxa"/>
            </w:tcMar>
          </w:tcPr>
          <w:p>
            <w:r>
              <w:rPr>
                <w:rFonts w:ascii="Arial" w:hAnsi="Arial"/>
                <w:b/>
                <w:i w:val="0"/>
                <w:color w:val="FFFFFF"/>
                <w:sz w:val="21"/>
              </w:rPr>
              <w:t>Field Name</w:t>
            </w:r>
          </w:p>
        </w:tc>
        <w:tc>
          <w:tcPr>
            <w:tcW w:type="dxa" w:w="3120"/>
            <w:shd w:fill="1B365D"/>
            <w:tcMar>
              <w:top w:w="100" w:type="dxa"/>
              <w:bottom w:w="100" w:type="dxa"/>
              <w:left w:w="150" w:type="dxa"/>
              <w:right w:w="150" w:type="dxa"/>
            </w:tcMar>
          </w:tcPr>
          <w:p>
            <w:r>
              <w:rPr>
                <w:rFonts w:ascii="Arial" w:hAnsi="Arial"/>
                <w:b/>
                <w:i w:val="0"/>
                <w:color w:val="FFFFFF"/>
                <w:sz w:val="21"/>
              </w:rPr>
              <w:t>Type</w:t>
            </w:r>
          </w:p>
        </w:tc>
        <w:tc>
          <w:tcPr>
            <w:tcW w:type="dxa" w:w="3120"/>
            <w:shd w:fill="1B365D"/>
            <w:tcMar>
              <w:top w:w="100" w:type="dxa"/>
              <w:bottom w:w="100" w:type="dxa"/>
              <w:left w:w="150" w:type="dxa"/>
              <w:right w:w="150" w:type="dxa"/>
            </w:tcMar>
          </w:tcPr>
          <w:p>
            <w:r>
              <w:rPr>
                <w:rFonts w:ascii="Arial" w:hAnsi="Arial"/>
                <w:b/>
                <w:i w:val="0"/>
                <w:color w:val="FFFFFF"/>
                <w:sz w:val="21"/>
              </w:rPr>
              <w:t>Description / Contract</w:t>
            </w:r>
          </w:p>
        </w:tc>
      </w:tr>
      <w:tr>
        <w:tc>
          <w:tcPr>
            <w:tcW w:type="dxa" w:w="3120"/>
            <w:shd w:fill="FFFFFF"/>
            <w:tcMar>
              <w:top w:w="100" w:type="dxa"/>
              <w:bottom w:w="100" w:type="dxa"/>
              <w:left w:w="150" w:type="dxa"/>
              <w:right w:w="150" w:type="dxa"/>
            </w:tcMar>
          </w:tcPr>
          <w:p>
            <w:r>
              <w:rPr>
                <w:rFonts w:ascii="Arial" w:hAnsi="Arial"/>
                <w:b/>
                <w:i w:val="0"/>
                <w:color w:val="1B365D"/>
                <w:sz w:val="19"/>
              </w:rPr>
              <w:t>coord</w:t>
            </w:r>
          </w:p>
        </w:tc>
        <w:tc>
          <w:tcPr>
            <w:tcW w:type="dxa" w:w="3120"/>
            <w:shd w:fill="FFFFFF"/>
            <w:tcMar>
              <w:top w:w="100" w:type="dxa"/>
              <w:bottom w:w="100" w:type="dxa"/>
              <w:left w:w="150" w:type="dxa"/>
              <w:right w:w="150" w:type="dxa"/>
            </w:tcMar>
          </w:tcPr>
          <w:p>
            <w:r>
              <w:rPr>
                <w:rFonts w:ascii="Arial" w:hAnsi="Arial"/>
                <w:b w:val="0"/>
                <w:i w:val="0"/>
                <w:color w:val="222222"/>
                <w:sz w:val="19"/>
              </w:rPr>
              <w:t>string</w:t>
            </w:r>
          </w:p>
        </w:tc>
        <w:tc>
          <w:tcPr>
            <w:tcW w:type="dxa" w:w="3120"/>
            <w:shd w:fill="FFFFFF"/>
            <w:tcMar>
              <w:top w:w="100" w:type="dxa"/>
              <w:bottom w:w="100" w:type="dxa"/>
              <w:left w:w="150" w:type="dxa"/>
              <w:right w:w="150" w:type="dxa"/>
            </w:tcMar>
          </w:tcPr>
          <w:p>
            <w:r>
              <w:rPr>
                <w:rFonts w:ascii="Arial" w:hAnsi="Arial"/>
                <w:b w:val="0"/>
                <w:i w:val="0"/>
                <w:color w:val="222222"/>
                <w:sz w:val="19"/>
              </w:rPr>
              <w:t>The spreadsheet coordinate of the targeted cell (e.g., 'B23').</w:t>
            </w:r>
          </w:p>
        </w:tc>
      </w:tr>
      <w:tr>
        <w:tc>
          <w:tcPr>
            <w:tcW w:type="dxa" w:w="3120"/>
            <w:shd w:fill="F2F5F8"/>
            <w:tcMar>
              <w:top w:w="100" w:type="dxa"/>
              <w:bottom w:w="100" w:type="dxa"/>
              <w:left w:w="150" w:type="dxa"/>
              <w:right w:w="150" w:type="dxa"/>
            </w:tcMar>
          </w:tcPr>
          <w:p>
            <w:r>
              <w:rPr>
                <w:rFonts w:ascii="Arial" w:hAnsi="Arial"/>
                <w:b/>
                <w:i w:val="0"/>
                <w:color w:val="1B365D"/>
                <w:sz w:val="19"/>
              </w:rPr>
              <w:t>text</w:t>
            </w:r>
          </w:p>
        </w:tc>
        <w:tc>
          <w:tcPr>
            <w:tcW w:type="dxa" w:w="3120"/>
            <w:shd w:fill="F2F5F8"/>
            <w:tcMar>
              <w:top w:w="100" w:type="dxa"/>
              <w:bottom w:w="100" w:type="dxa"/>
              <w:left w:w="150" w:type="dxa"/>
              <w:right w:w="150" w:type="dxa"/>
            </w:tcMar>
          </w:tcPr>
          <w:p>
            <w:r>
              <w:rPr>
                <w:rFonts w:ascii="Arial" w:hAnsi="Arial"/>
                <w:b w:val="0"/>
                <w:i w:val="0"/>
                <w:color w:val="222222"/>
                <w:sz w:val="19"/>
              </w:rPr>
              <w:t>string</w:t>
            </w:r>
          </w:p>
        </w:tc>
        <w:tc>
          <w:tcPr>
            <w:tcW w:type="dxa" w:w="3120"/>
            <w:shd w:fill="F2F5F8"/>
            <w:tcMar>
              <w:top w:w="100" w:type="dxa"/>
              <w:bottom w:w="100" w:type="dxa"/>
              <w:left w:w="150" w:type="dxa"/>
              <w:right w:w="150" w:type="dxa"/>
            </w:tcMar>
          </w:tcPr>
          <w:p>
            <w:r>
              <w:rPr>
                <w:rFonts w:ascii="Arial" w:hAnsi="Arial"/>
                <w:b w:val="0"/>
                <w:i w:val="0"/>
                <w:color w:val="222222"/>
                <w:sz w:val="19"/>
              </w:rPr>
              <w:t>The current raw content stored in the cell (formula, text, or number).</w:t>
            </w:r>
          </w:p>
        </w:tc>
      </w:tr>
      <w:tr>
        <w:tc>
          <w:tcPr>
            <w:tcW w:type="dxa" w:w="3120"/>
            <w:shd w:fill="FFFFFF"/>
            <w:tcMar>
              <w:top w:w="100" w:type="dxa"/>
              <w:bottom w:w="100" w:type="dxa"/>
              <w:left w:w="150" w:type="dxa"/>
              <w:right w:w="150" w:type="dxa"/>
            </w:tcMar>
          </w:tcPr>
          <w:p>
            <w:r>
              <w:rPr>
                <w:rFonts w:ascii="Arial" w:hAnsi="Arial"/>
                <w:b/>
                <w:i w:val="0"/>
                <w:color w:val="1B365D"/>
                <w:sz w:val="19"/>
              </w:rPr>
              <w:t>okfn</w:t>
            </w:r>
          </w:p>
        </w:tc>
        <w:tc>
          <w:tcPr>
            <w:tcW w:type="dxa" w:w="3120"/>
            <w:shd w:fill="FFFFFF"/>
            <w:tcMar>
              <w:top w:w="100" w:type="dxa"/>
              <w:bottom w:w="100" w:type="dxa"/>
              <w:left w:w="150" w:type="dxa"/>
              <w:right w:w="150" w:type="dxa"/>
            </w:tcMar>
          </w:tcPr>
          <w:p>
            <w:r>
              <w:rPr>
                <w:rFonts w:ascii="Arial" w:hAnsi="Arial"/>
                <w:b w:val="0"/>
                <w:i w:val="0"/>
                <w:color w:val="222222"/>
                <w:sz w:val="19"/>
              </w:rPr>
              <w:t>function(value)</w:t>
            </w:r>
          </w:p>
        </w:tc>
        <w:tc>
          <w:tcPr>
            <w:tcW w:type="dxa" w:w="3120"/>
            <w:shd w:fill="FFFFFF"/>
            <w:tcMar>
              <w:top w:w="100" w:type="dxa"/>
              <w:bottom w:w="100" w:type="dxa"/>
              <w:left w:w="150" w:type="dxa"/>
              <w:right w:w="150" w:type="dxa"/>
            </w:tcMar>
          </w:tcPr>
          <w:p>
            <w:r>
              <w:rPr>
                <w:rFonts w:ascii="Arial" w:hAnsi="Arial"/>
                <w:b w:val="0"/>
                <w:i w:val="0"/>
                <w:color w:val="222222"/>
                <w:sz w:val="19"/>
              </w:rPr>
              <w:t>The callback executed by React. Accepts a string value, parses numbers, and compiles SocialCalc set commands.</w:t>
            </w:r>
          </w:p>
        </w:tc>
      </w:tr>
      <w:tr>
        <w:tc>
          <w:tcPr>
            <w:tcW w:type="dxa" w:w="3120"/>
            <w:shd w:fill="F2F5F8"/>
            <w:tcMar>
              <w:top w:w="100" w:type="dxa"/>
              <w:bottom w:w="100" w:type="dxa"/>
              <w:left w:w="150" w:type="dxa"/>
              <w:right w:w="150" w:type="dxa"/>
            </w:tcMar>
          </w:tcPr>
          <w:p>
            <w:r>
              <w:rPr>
                <w:rFonts w:ascii="Arial" w:hAnsi="Arial"/>
                <w:b/>
                <w:i w:val="0"/>
                <w:color w:val="1B365D"/>
                <w:sz w:val="19"/>
              </w:rPr>
              <w:t>cleanup</w:t>
            </w:r>
          </w:p>
        </w:tc>
        <w:tc>
          <w:tcPr>
            <w:tcW w:type="dxa" w:w="3120"/>
            <w:shd w:fill="F2F5F8"/>
            <w:tcMar>
              <w:top w:w="100" w:type="dxa"/>
              <w:bottom w:w="100" w:type="dxa"/>
              <w:left w:w="150" w:type="dxa"/>
              <w:right w:w="150" w:type="dxa"/>
            </w:tcMar>
          </w:tcPr>
          <w:p>
            <w:r>
              <w:rPr>
                <w:rFonts w:ascii="Arial" w:hAnsi="Arial"/>
                <w:b w:val="0"/>
                <w:i w:val="0"/>
                <w:color w:val="222222"/>
                <w:sz w:val="19"/>
              </w:rPr>
              <w:t>function()</w:t>
            </w:r>
          </w:p>
        </w:tc>
        <w:tc>
          <w:tcPr>
            <w:tcW w:type="dxa" w:w="3120"/>
            <w:shd w:fill="F2F5F8"/>
            <w:tcMar>
              <w:top w:w="100" w:type="dxa"/>
              <w:bottom w:w="100" w:type="dxa"/>
              <w:left w:w="150" w:type="dxa"/>
              <w:right w:w="150" w:type="dxa"/>
            </w:tcMar>
          </w:tcPr>
          <w:p>
            <w:r>
              <w:rPr>
                <w:rFonts w:ascii="Arial" w:hAnsi="Arial"/>
                <w:b w:val="0"/>
                <w:i w:val="0"/>
                <w:color w:val="222222"/>
                <w:sz w:val="19"/>
              </w:rPr>
              <w:t>Runs on modal closure. Restores original selection styles and resets editor edit coordinates.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