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14151a"/>
          <w:sz w:val="24"/>
          <w:szCs w:val="24"/>
          <w:highlight w:val="white"/>
          <w:u w:val="single"/>
        </w:rPr>
      </w:pPr>
      <w:r w:rsidDel="00000000" w:rsidR="00000000" w:rsidRPr="00000000">
        <w:rPr>
          <w:rFonts w:ascii="Times New Roman" w:cs="Times New Roman" w:eastAsia="Times New Roman" w:hAnsi="Times New Roman"/>
          <w:b w:val="1"/>
          <w:color w:val="14151a"/>
          <w:sz w:val="24"/>
          <w:szCs w:val="24"/>
          <w:highlight w:val="white"/>
          <w:u w:val="single"/>
          <w:rtl w:val="0"/>
        </w:rPr>
        <w:t xml:space="preserve">Making Mobility Better with Mantle</w:t>
      </w:r>
    </w:p>
    <w:p w:rsidR="00000000" w:rsidDel="00000000" w:rsidP="00000000" w:rsidRDefault="00000000" w:rsidRPr="00000000" w14:paraId="00000002">
      <w:pPr>
        <w:rPr>
          <w:rFonts w:ascii="Times New Roman" w:cs="Times New Roman" w:eastAsia="Times New Roman" w:hAnsi="Times New Roman"/>
          <w:color w:val="14151a"/>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4151a"/>
          <w:sz w:val="24"/>
          <w:szCs w:val="24"/>
          <w:highlight w:val="white"/>
          <w:rtl w:val="0"/>
        </w:rPr>
        <w:t xml:space="preserve">Mantle is a product of </w:t>
      </w:r>
      <w:hyperlink r:id="rId6">
        <w:r w:rsidDel="00000000" w:rsidR="00000000" w:rsidRPr="00000000">
          <w:rPr>
            <w:rFonts w:ascii="Times New Roman" w:cs="Times New Roman" w:eastAsia="Times New Roman" w:hAnsi="Times New Roman"/>
            <w:color w:val="3861fb"/>
            <w:sz w:val="24"/>
            <w:szCs w:val="24"/>
            <w:highlight w:val="white"/>
            <w:rtl w:val="0"/>
          </w:rPr>
          <w:t xml:space="preserve">BitDAO</w:t>
        </w:r>
      </w:hyperlink>
      <w:r w:rsidDel="00000000" w:rsidR="00000000" w:rsidRPr="00000000">
        <w:rPr>
          <w:rFonts w:ascii="Times New Roman" w:cs="Times New Roman" w:eastAsia="Times New Roman" w:hAnsi="Times New Roman"/>
          <w:color w:val="14151a"/>
          <w:sz w:val="24"/>
          <w:szCs w:val="24"/>
          <w:highlight w:val="white"/>
          <w:rtl w:val="0"/>
        </w:rPr>
        <w:t xml:space="preserve">, a </w:t>
      </w:r>
      <w:hyperlink r:id="rId7">
        <w:r w:rsidDel="00000000" w:rsidR="00000000" w:rsidRPr="00000000">
          <w:rPr>
            <w:rFonts w:ascii="Times New Roman" w:cs="Times New Roman" w:eastAsia="Times New Roman" w:hAnsi="Times New Roman"/>
            <w:color w:val="3861fb"/>
            <w:sz w:val="24"/>
            <w:szCs w:val="24"/>
            <w:highlight w:val="white"/>
            <w:rtl w:val="0"/>
          </w:rPr>
          <w:t xml:space="preserve">decentralized autonomous organization</w:t>
        </w:r>
      </w:hyperlink>
      <w:r w:rsidDel="00000000" w:rsidR="00000000" w:rsidRPr="00000000">
        <w:rPr>
          <w:rFonts w:ascii="Times New Roman" w:cs="Times New Roman" w:eastAsia="Times New Roman" w:hAnsi="Times New Roman"/>
          <w:color w:val="14151a"/>
          <w:sz w:val="24"/>
          <w:szCs w:val="24"/>
          <w:highlight w:val="white"/>
          <w:rtl w:val="0"/>
        </w:rPr>
        <w:t xml:space="preserve"> (DAO) launched by </w:t>
      </w:r>
      <w:hyperlink r:id="rId8">
        <w:r w:rsidDel="00000000" w:rsidR="00000000" w:rsidRPr="00000000">
          <w:rPr>
            <w:rFonts w:ascii="Times New Roman" w:cs="Times New Roman" w:eastAsia="Times New Roman" w:hAnsi="Times New Roman"/>
            <w:color w:val="3861fb"/>
            <w:sz w:val="24"/>
            <w:szCs w:val="24"/>
            <w:highlight w:val="white"/>
            <w:rtl w:val="0"/>
          </w:rPr>
          <w:t xml:space="preserve">centralized exchange</w:t>
        </w:r>
      </w:hyperlink>
      <w:r w:rsidDel="00000000" w:rsidR="00000000" w:rsidRPr="00000000">
        <w:rPr>
          <w:rFonts w:ascii="Times New Roman" w:cs="Times New Roman" w:eastAsia="Times New Roman" w:hAnsi="Times New Roman"/>
          <w:color w:val="14151a"/>
          <w:sz w:val="24"/>
          <w:szCs w:val="24"/>
          <w:highlight w:val="white"/>
          <w:rtl w:val="0"/>
        </w:rPr>
        <w:t xml:space="preserve">, ByBit, to support and empower builders in the crypto space</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14151a"/>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14151a"/>
          <w:sz w:val="24"/>
          <w:szCs w:val="24"/>
          <w:highlight w:val="white"/>
        </w:rPr>
      </w:pPr>
      <w:r w:rsidDel="00000000" w:rsidR="00000000" w:rsidRPr="00000000">
        <w:rPr>
          <w:rFonts w:ascii="Times New Roman" w:cs="Times New Roman" w:eastAsia="Times New Roman" w:hAnsi="Times New Roman"/>
          <w:color w:val="14151a"/>
          <w:sz w:val="24"/>
          <w:szCs w:val="24"/>
          <w:highlight w:val="white"/>
          <w:rtl w:val="0"/>
        </w:rPr>
        <w:t xml:space="preserve">Mante allows </w:t>
      </w:r>
      <w:r w:rsidDel="00000000" w:rsidR="00000000" w:rsidRPr="00000000">
        <w:rPr>
          <w:rFonts w:ascii="Times New Roman" w:cs="Times New Roman" w:eastAsia="Times New Roman" w:hAnsi="Times New Roman"/>
          <w:b w:val="1"/>
          <w:color w:val="14151a"/>
          <w:sz w:val="24"/>
          <w:szCs w:val="24"/>
          <w:highlight w:val="white"/>
          <w:rtl w:val="0"/>
        </w:rPr>
        <w:t xml:space="preserve">hyper scalability</w:t>
      </w:r>
      <w:r w:rsidDel="00000000" w:rsidR="00000000" w:rsidRPr="00000000">
        <w:rPr>
          <w:rFonts w:ascii="Times New Roman" w:cs="Times New Roman" w:eastAsia="Times New Roman" w:hAnsi="Times New Roman"/>
          <w:color w:val="14151a"/>
          <w:sz w:val="24"/>
          <w:szCs w:val="24"/>
          <w:highlight w:val="white"/>
          <w:rtl w:val="0"/>
        </w:rPr>
        <w:t xml:space="preserve"> of the Ethereum network, leveraging roll-up technology and a decentralized data availability layer to increase efficiency and performance in the mobility ecosystem, all while reducing fees and latency. Building with an Ethereum roll-up technology also means that Mantle offers unparalleled security, all packaged in a familiar EVM environment for users and developers. </w:t>
      </w:r>
    </w:p>
    <w:p w:rsidR="00000000" w:rsidDel="00000000" w:rsidP="00000000" w:rsidRDefault="00000000" w:rsidRPr="00000000" w14:paraId="00000006">
      <w:pPr>
        <w:rPr>
          <w:rFonts w:ascii="Times New Roman" w:cs="Times New Roman" w:eastAsia="Times New Roman" w:hAnsi="Times New Roman"/>
          <w:color w:val="14151a"/>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14151a"/>
          <w:sz w:val="24"/>
          <w:szCs w:val="24"/>
          <w:highlight w:val="white"/>
        </w:rPr>
      </w:pPr>
      <w:r w:rsidDel="00000000" w:rsidR="00000000" w:rsidRPr="00000000">
        <w:rPr>
          <w:rFonts w:ascii="Times New Roman" w:cs="Times New Roman" w:eastAsia="Times New Roman" w:hAnsi="Times New Roman"/>
          <w:b w:val="1"/>
          <w:color w:val="14151a"/>
          <w:sz w:val="24"/>
          <w:szCs w:val="24"/>
          <w:highlight w:val="white"/>
          <w:rtl w:val="0"/>
        </w:rPr>
        <w:t xml:space="preserve">Impact </w:t>
      </w:r>
      <w:r w:rsidDel="00000000" w:rsidR="00000000" w:rsidRPr="00000000">
        <w:rPr>
          <w:rFonts w:ascii="Times New Roman" w:cs="Times New Roman" w:eastAsia="Times New Roman" w:hAnsi="Times New Roman"/>
          <w:color w:val="14151a"/>
          <w:sz w:val="24"/>
          <w:szCs w:val="24"/>
          <w:highlight w:val="white"/>
          <w:rtl w:val="0"/>
        </w:rPr>
        <w:t xml:space="preserve">of Using Mantle in Mobility industry:</w:t>
      </w:r>
    </w:p>
    <w:p w:rsidR="00000000" w:rsidDel="00000000" w:rsidP="00000000" w:rsidRDefault="00000000" w:rsidRPr="00000000" w14:paraId="00000008">
      <w:pPr>
        <w:rPr>
          <w:rFonts w:ascii="Times New Roman" w:cs="Times New Roman" w:eastAsia="Times New Roman" w:hAnsi="Times New Roman"/>
          <w:color w:val="14151a"/>
          <w:sz w:val="24"/>
          <w:szCs w:val="24"/>
          <w:highlight w:val="white"/>
        </w:rPr>
      </w:pPr>
      <w:r w:rsidDel="00000000" w:rsidR="00000000" w:rsidRPr="00000000">
        <w:rPr>
          <w:rtl w:val="0"/>
        </w:rPr>
      </w:r>
    </w:p>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greater and more seamless flow of information within mobility infrastructure encompasses and leverages digital progress and can transform the way mobility services are delivered and compensated:</w:t>
      </w:r>
    </w:p>
    <w:p w:rsidR="00000000" w:rsidDel="00000000" w:rsidP="00000000" w:rsidRDefault="00000000" w:rsidRPr="00000000" w14:paraId="0000000A">
      <w:pPr>
        <w:widowControl w:val="0"/>
        <w:numPr>
          <w:ilvl w:val="0"/>
          <w:numId w:val="1"/>
        </w:numPr>
        <w:spacing w:line="240" w:lineRule="auto"/>
        <w:ind w:left="270" w:hanging="1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Mobility ecosystem </w:t>
      </w:r>
      <w:r w:rsidDel="00000000" w:rsidR="00000000" w:rsidRPr="00000000">
        <w:rPr>
          <w:rFonts w:ascii="Times New Roman" w:cs="Times New Roman" w:eastAsia="Times New Roman" w:hAnsi="Times New Roman"/>
          <w:b w:val="1"/>
          <w:sz w:val="24"/>
          <w:szCs w:val="24"/>
          <w:rtl w:val="0"/>
        </w:rPr>
        <w:t xml:space="preserve">proactive, accessible and authentic</w:t>
      </w:r>
      <w:r w:rsidDel="00000000" w:rsidR="00000000" w:rsidRPr="00000000">
        <w:rPr>
          <w:rFonts w:ascii="Times New Roman" w:cs="Times New Roman" w:eastAsia="Times New Roman" w:hAnsi="Times New Roman"/>
          <w:sz w:val="24"/>
          <w:szCs w:val="24"/>
          <w:rtl w:val="0"/>
        </w:rPr>
        <w:t xml:space="preserve"> using Mantle.</w:t>
      </w:r>
    </w:p>
    <w:p w:rsidR="00000000" w:rsidDel="00000000" w:rsidP="00000000" w:rsidRDefault="00000000" w:rsidRPr="00000000" w14:paraId="0000000B">
      <w:pPr>
        <w:widowControl w:val="0"/>
        <w:numPr>
          <w:ilvl w:val="0"/>
          <w:numId w:val="1"/>
        </w:numPr>
        <w:spacing w:line="240" w:lineRule="auto"/>
        <w:ind w:left="270" w:hanging="1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Coordination with the help of Mantle and computer aided detection will help in </w:t>
      </w:r>
      <w:r w:rsidDel="00000000" w:rsidR="00000000" w:rsidRPr="00000000">
        <w:rPr>
          <w:rFonts w:ascii="Times New Roman" w:cs="Times New Roman" w:eastAsia="Times New Roman" w:hAnsi="Times New Roman"/>
          <w:b w:val="1"/>
          <w:sz w:val="24"/>
          <w:szCs w:val="24"/>
          <w:rtl w:val="0"/>
        </w:rPr>
        <w:t xml:space="preserve">early prediction of incidents</w:t>
      </w:r>
      <w:r w:rsidDel="00000000" w:rsidR="00000000" w:rsidRPr="00000000">
        <w:rPr>
          <w:rFonts w:ascii="Times New Roman" w:cs="Times New Roman" w:eastAsia="Times New Roman" w:hAnsi="Times New Roman"/>
          <w:sz w:val="24"/>
          <w:szCs w:val="24"/>
          <w:rtl w:val="0"/>
        </w:rPr>
        <w:t xml:space="preserve">. Scaling using Mantle enables on-chain collaboration at a lower transaction costs.</w:t>
      </w:r>
    </w:p>
    <w:p w:rsidR="00000000" w:rsidDel="00000000" w:rsidP="00000000" w:rsidRDefault="00000000" w:rsidRPr="00000000" w14:paraId="0000000C">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Mantle’s Features for better Mobility</w:t>
      </w:r>
    </w:p>
    <w:p w:rsidR="00000000" w:rsidDel="00000000" w:rsidP="00000000" w:rsidRDefault="00000000" w:rsidRPr="00000000" w14:paraId="0000000E">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pBdr>
          <w:bottom w:color="auto" w:space="11"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Incident Data Availability</w:t>
      </w:r>
      <w:r w:rsidDel="00000000" w:rsidR="00000000" w:rsidRPr="00000000">
        <w:rPr>
          <w:rFonts w:ascii="Times New Roman" w:cs="Times New Roman" w:eastAsia="Times New Roman" w:hAnsi="Times New Roman"/>
          <w:sz w:val="24"/>
          <w:szCs w:val="24"/>
          <w:rtl w:val="0"/>
        </w:rPr>
        <w:t xml:space="preserve">: Mantle’s Modular Data Availability is able to increase transaction throughput beyond incumbent L2 solutions, reducing processing requirements and increasing decentralization without compromising on security features.</w:t>
      </w:r>
    </w:p>
    <w:p w:rsidR="00000000" w:rsidDel="00000000" w:rsidP="00000000" w:rsidRDefault="00000000" w:rsidRPr="00000000" w14:paraId="00000010">
      <w:pPr>
        <w:widowControl w:val="0"/>
        <w:pBdr>
          <w:bottom w:color="auto" w:space="11"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pBdr>
          <w:bottom w:color="auto" w:space="11"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Multi-Party Computation (MPC)</w:t>
      </w:r>
      <w:r w:rsidDel="00000000" w:rsidR="00000000" w:rsidRPr="00000000">
        <w:rPr>
          <w:rFonts w:ascii="Times New Roman" w:cs="Times New Roman" w:eastAsia="Times New Roman" w:hAnsi="Times New Roman"/>
          <w:sz w:val="24"/>
          <w:szCs w:val="24"/>
          <w:rtl w:val="0"/>
        </w:rPr>
        <w:t xml:space="preserve">:  Mantle greatly reduces the trust risk of L2 execution results with MPC. With Threshold Signature Scheme (TSS) technology, the correctness of off-chain transaction execution results is vastly improved, lowering the challenge period for withdrawals. </w:t>
      </w:r>
    </w:p>
    <w:p w:rsidR="00000000" w:rsidDel="00000000" w:rsidP="00000000" w:rsidRDefault="00000000" w:rsidRPr="00000000" w14:paraId="00000012">
      <w:pPr>
        <w:widowControl w:val="0"/>
        <w:pBdr>
          <w:bottom w:color="auto" w:space="11"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pBdr>
          <w:bottom w:color="auto" w:space="11"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Decentralized Sequencer</w:t>
      </w:r>
      <w:r w:rsidDel="00000000" w:rsidR="00000000" w:rsidRPr="00000000">
        <w:rPr>
          <w:rFonts w:ascii="Times New Roman" w:cs="Times New Roman" w:eastAsia="Times New Roman" w:hAnsi="Times New Roman"/>
          <w:sz w:val="24"/>
          <w:szCs w:val="24"/>
          <w:rtl w:val="0"/>
        </w:rPr>
        <w:t xml:space="preserve">: Mantle utilizes a Decentralized Sequencer to facilitate secure and trustless block production, negating the issue of a single point of failure and censorship on the network. </w:t>
      </w:r>
    </w:p>
    <w:p w:rsidR="00000000" w:rsidDel="00000000" w:rsidP="00000000" w:rsidRDefault="00000000" w:rsidRPr="00000000" w14:paraId="00000014">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Connected Vehicles for Efficiency and Sustainability using Mantle</w:t>
      </w:r>
      <w:r w:rsidDel="00000000" w:rsidR="00000000" w:rsidRPr="00000000">
        <w:rPr>
          <w:rFonts w:ascii="Times New Roman" w:cs="Times New Roman" w:eastAsia="Times New Roman" w:hAnsi="Times New Roman"/>
          <w:sz w:val="24"/>
          <w:szCs w:val="24"/>
          <w:rtl w:val="0"/>
        </w:rPr>
        <w:t xml:space="preserve">: Mantle enables </w:t>
      </w:r>
      <w:r w:rsidDel="00000000" w:rsidR="00000000" w:rsidRPr="00000000">
        <w:rPr>
          <w:rFonts w:ascii="Times New Roman" w:cs="Times New Roman" w:eastAsia="Times New Roman" w:hAnsi="Times New Roman"/>
          <w:b w:val="1"/>
          <w:sz w:val="24"/>
          <w:szCs w:val="24"/>
          <w:rtl w:val="0"/>
        </w:rPr>
        <w:t xml:space="preserve">Connected Vehicles for Efficiency and Sustainability. </w:t>
      </w:r>
      <w:r w:rsidDel="00000000" w:rsidR="00000000" w:rsidRPr="00000000">
        <w:rPr>
          <w:rFonts w:ascii="Times New Roman" w:cs="Times New Roman" w:eastAsia="Times New Roman" w:hAnsi="Times New Roman"/>
          <w:sz w:val="24"/>
          <w:szCs w:val="24"/>
          <w:rtl w:val="0"/>
        </w:rPr>
        <w:t xml:space="preserve">Users can issue, manage and transfer credits of ratings earned for vehicle owners and their respective vehicles via pollution checks, green fuel adoption in vehicles on Mantle Blockchain. Workflow and platform features that can be implemented with SocialCalc (EtherCalc) and Mantle blockchain for better mobility are:</w:t>
      </w:r>
    </w:p>
    <w:p w:rsidR="00000000" w:rsidDel="00000000" w:rsidP="00000000" w:rsidRDefault="00000000" w:rsidRPr="00000000" w14:paraId="00000015">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creation procedure; User identification with NFC tags; </w:t>
      </w:r>
    </w:p>
    <w:p w:rsidR="00000000" w:rsidDel="00000000" w:rsidP="00000000" w:rsidRDefault="00000000" w:rsidRPr="00000000" w14:paraId="00000017">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credits of ratings earned via pollution checks, green fuel assets; </w:t>
      </w:r>
    </w:p>
    <w:p w:rsidR="00000000" w:rsidDel="00000000" w:rsidP="00000000" w:rsidRDefault="00000000" w:rsidRPr="00000000" w14:paraId="00000018">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Issue green credits for vehicles via pollution checks; </w:t>
      </w:r>
    </w:p>
    <w:p w:rsidR="00000000" w:rsidDel="00000000" w:rsidP="00000000" w:rsidRDefault="00000000" w:rsidRPr="00000000" w14:paraId="00000019">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 green credits per vehicle; Handle multiple vehicles.</w:t>
      </w:r>
    </w:p>
    <w:p w:rsidR="00000000" w:rsidDel="00000000" w:rsidP="00000000" w:rsidRDefault="00000000" w:rsidRPr="00000000" w14:paraId="0000001A">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pBdr>
          <w:bottom w:color="auto" w:space="11"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Opportunity for Open Source Developers to collaborate in Mantle eco-system</w:t>
      </w:r>
      <w:r w:rsidDel="00000000" w:rsidR="00000000" w:rsidRPr="00000000">
        <w:rPr>
          <w:rtl w:val="0"/>
        </w:rPr>
      </w:r>
    </w:p>
    <w:p w:rsidR="00000000" w:rsidDel="00000000" w:rsidP="00000000" w:rsidRDefault="00000000" w:rsidRPr="00000000" w14:paraId="00000020">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tooling in Mantle can be extended and adapted to a variety of key use-cases in the mobility ecosystem.</w:t>
      </w:r>
    </w:p>
    <w:p w:rsidR="00000000" w:rsidDel="00000000" w:rsidP="00000000" w:rsidRDefault="00000000" w:rsidRPr="00000000" w14:paraId="00000022">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worked on one such module for sustainability: </w:t>
      </w:r>
      <w:r w:rsidDel="00000000" w:rsidR="00000000" w:rsidRPr="00000000">
        <w:rPr>
          <w:rFonts w:ascii="Times New Roman" w:cs="Times New Roman" w:eastAsia="Times New Roman" w:hAnsi="Times New Roman"/>
          <w:b w:val="1"/>
          <w:sz w:val="24"/>
          <w:szCs w:val="24"/>
          <w:rtl w:val="0"/>
        </w:rPr>
        <w:t xml:space="preserve">Alarm Viewer.</w:t>
      </w:r>
    </w:p>
    <w:p w:rsidR="00000000" w:rsidDel="00000000" w:rsidP="00000000" w:rsidRDefault="00000000" w:rsidRPr="00000000" w14:paraId="00000024">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alarm viewer with Mantle Blockchain can be used in case a vehicles' quarterly pollution check is due or has not been completed one week before the penalty set by the government authorities. This alarm viewer can be further extended by the developers to build community tools, analytics and visualization tooling by adding features like pollution check performance ratings and raising alarms and notifications when the registry of a vehicle to operate in a region expires (example: 15 years for petrol vehicles and 10 years for diesel vehicles in Delhi). </w:t>
      </w:r>
    </w:p>
    <w:p w:rsidR="00000000" w:rsidDel="00000000" w:rsidP="00000000" w:rsidRDefault="00000000" w:rsidRPr="00000000" w14:paraId="00000026">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alarm viewer application can also be extended for the use case where the pollution testing equipment does not give optimal results, which is very much true when a vehicle has traveled more than 45,000 kms.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oinmarketcap.com/alexandria/article/what-is-bitdao-bit" TargetMode="External"/><Relationship Id="rId7" Type="http://schemas.openxmlformats.org/officeDocument/2006/relationships/hyperlink" Target="https://coinmarketcap.com/alexandria/glossary/decentralized-autonomous-organizations-dao" TargetMode="External"/><Relationship Id="rId8" Type="http://schemas.openxmlformats.org/officeDocument/2006/relationships/hyperlink" Target="https://coinmarketcap.com/alexandria/glossary/centralized-exchange-c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