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Notes &amp; Sources</w:t>
      </w:r>
    </w:p>
    <w:p>
      <w:r>
        <w:rPr>
          <w:i/>
          <w:iCs/>
          <w:color w:val="555555"/>
        </w:rPr>
        <w:t xml:space="preserve">Running documentation of terms, sources, and annotations for the memoir of Ryan Charles Lingo.</w:t>
      </w:r>
    </w:p>
    <w:p>
      <w:pPr>
        <w:pBdr>
          <w:bottom w:val="single" w:color="cccccc" w:sz="6" w:space="1"/>
        </w:pBdr>
      </w:pPr>
      <w:r>
        <w:t xml:space="preserve"/>
      </w:r>
    </w:p>
    <w:p>
      <w:r>
        <w:t xml:space="preserve"/>
      </w:r>
    </w:p>
    <w:p>
      <w:pPr>
        <w:pStyle w:val="Heading2"/>
      </w:pPr>
      <w:r>
        <w:t xml:space="preserve">Draft Author’s Note</w:t>
      </w:r>
    </w:p>
    <w:p>
      <w:r>
        <w:t xml:space="preserve">This book is a work of memoir. All events described are drawn from the author’s direct experience, contemporaneous notes, and documented correspondence. Certain terms used throughout — particularly those drawn from military, intelligence, and psychological operations literature — are defined and sourced in the Notes section at the back of this volume. Readers who wish to verify the existence and usage of these terms in official contexts are encouraged to consult the sources listed there.</w:t>
      </w:r>
    </w:p>
    <w:p>
      <w:r>
        <w:t xml:space="preserve"/>
      </w:r>
    </w:p>
    <w:p>
      <w:pPr>
        <w:pStyle w:val="Heading2"/>
      </w:pPr>
      <w:r>
        <w:t xml:space="preserve">Chapter Notes</w:t>
      </w:r>
    </w:p>
    <w:p>
      <w:r>
        <w:t xml:space="preserve"/>
      </w:r>
    </w:p>
    <w:p>
      <w:pPr>
        <w:pStyle w:val="Heading3"/>
      </w:pPr>
      <w:r>
        <w:t xml:space="preserve">Chapter 1 — The Offer</w:t>
      </w:r>
    </w:p>
    <w:p>
      <w:r>
        <w:rPr>
          <w:b/>
          <w:bCs/>
        </w:rPr>
        <w:t xml:space="preserve">SF-312 (Classified Information Nondisclosure Agreement)</w:t>
      </w:r>
    </w:p>
    <w:p>
      <w:r>
        <w:t xml:space="preserve">Prescribed by the Office of the Director of National Intelligence (ODNI). Ryan signed his SF-312 on April 26, 2022. Provision 10 of both his 2022 and 2023 NDA versions explicitly preserves whistleblower protections. Source: signed original documents on file.</w:t>
      </w:r>
    </w:p>
    <w:p>
      <w:r>
        <w:t xml:space="preserve"/>
      </w:r>
    </w:p>
    <w:p>
      <w:r>
        <w:rPr>
          <w:b/>
          <w:bCs/>
        </w:rPr>
        <w:t xml:space="preserve">Plausibly Deniable Direction</w:t>
      </w:r>
    </w:p>
    <w:p>
      <w:r>
        <w:t xml:space="preserve">A technique used in clandestine and intelligence operations in which an operator communicates instructions through implication, framing, and narrated examples rather than explicit orders, so that no actionable record exists. Referenced in intelligence community training literature and documented in academic work on covert operations and influence techniques.</w:t>
      </w:r>
    </w:p>
    <w:p>
      <w:r>
        <w:t xml:space="preserve"/>
      </w:r>
    </w:p>
    <w:p>
      <w:r>
        <w:rPr>
          <w:b/>
          <w:bCs/>
        </w:rPr>
        <w:t xml:space="preserve">ESRI User Conference (2023)</w:t>
      </w:r>
    </w:p>
    <w:p>
      <w:r>
        <w:t xml:space="preserve">The largest GIS conference in the world, held annually in San Diego. Ryan’s abstract — “Comparing Reports of Unidentified Aerial Phenomena to Starlink Satellite Orbits,” Abstract #1240 — was accepted for a 20-minute plenary presentation at the 2023 conference. The presentation was never delivered. Source: IPASS abstract acceptance email, on file.</w:t>
      </w:r>
    </w:p>
    <w:p>
      <w:r>
        <w:t xml:space="preserve"/>
      </w:r>
    </w:p>
    <w:p>
      <w:r>
        <w:rPr>
          <w:b/>
          <w:bCs/>
        </w:rPr>
        <w:t xml:space="preserve">ODNI (Office of the Director of National Intelligence)</w:t>
      </w:r>
    </w:p>
    <w:p>
      <w:r>
        <w:t xml:space="preserve">The ODNI oversees all seventeen federal intelligence agencies and serves as the primary coordinator of intelligence community activities. Ryan’s UAP visualization screenshots reached ODNI prior to March 2, 2023, as confirmed by Gary Miller, Director of ATO Security (AJR2). Source: Ryan’s contemporaneous notes, March 6, 2023.</w:t>
      </w:r>
    </w:p>
    <w:p>
      <w:r>
        <w:t xml:space="preserve"/>
      </w:r>
    </w:p>
    <w:p>
      <w:pPr>
        <w:pStyle w:val="Heading3"/>
      </w:pPr>
      <w:r>
        <w:t xml:space="preserve">Chapter 2 — What I Saw</w:t>
      </w:r>
    </w:p>
    <w:p>
      <w:r>
        <w:rPr>
          <w:b/>
          <w:bCs/>
        </w:rPr>
        <w:t xml:space="preserve">Starlink Satellite Glint Hypothesis</w:t>
      </w:r>
    </w:p>
    <w:p>
      <w:r>
        <w:t xml:space="preserve">The hypothesis that a significant proportion of UAP reports from pilots and aircraft operators can be explained by sunlit Starlink satellites observed at specific sun angles and altitudes. Ryan’s Python-based 3D GIS tool tested this hypothesis by mapping satellite orbital paths against reported aircraft positions and sun angles. The methodology was accepted for presentation at the 2023 ESRI User Conference.</w:t>
      </w:r>
    </w:p>
    <w:p>
      <w:r>
        <w:t xml:space="preserve"/>
      </w:r>
    </w:p>
    <w:p>
      <w:r>
        <w:rPr>
          <w:b/>
          <w:bCs/>
        </w:rPr>
        <w:t xml:space="preserve">Skyfield (Python Library)</w:t>
      </w:r>
    </w:p>
    <w:p>
      <w:r>
        <w:t xml:space="preserve">An open-source Python astronomy library used to compute the positions of satellites, stars, and other celestial bodies. Ryan used Skyfield to calculate satellite orbital positions and sun angles as part of his UAP visualization tool. Available at: rhodesmill.org/skyfield</w:t>
      </w:r>
    </w:p>
    <w:p>
      <w:r>
        <w:t xml:space="preserve"/>
      </w:r>
    </w:p>
    <w:p>
      <w:pPr>
        <w:pStyle w:val="Heading3"/>
      </w:pPr>
      <w:r>
        <w:t xml:space="preserve">Chapter 3 — The Noise</w:t>
      </w:r>
    </w:p>
    <w:p>
      <w:r>
        <w:rPr>
          <w:b/>
          <w:bCs/>
        </w:rPr>
        <w:t xml:space="preserve">Cognitive Warfare</w:t>
      </w:r>
    </w:p>
    <w:p>
      <w:r>
        <w:t xml:space="preserve">The use of information environments — including social media platforms, algorithmic content delivery systems, and digital communications infrastructure — to influence, exhaust, and destabilize a target’s perception and decision-making capacity. Recognized and documented by NATO. See: NATO review, “Cognitive Warfare: The Fastest Growing Military Domain” (2021). Also discussed in testimony before the U.S. Senate Select Committee on Intelligence.</w:t>
      </w:r>
    </w:p>
    <w:p>
      <w:r>
        <w:t xml:space="preserve"/>
      </w:r>
    </w:p>
    <w:p>
      <w:r>
        <w:rPr>
          <w:b/>
          <w:bCs/>
        </w:rPr>
        <w:t xml:space="preserve">Plausibly Deniable Intimidation</w:t>
      </w:r>
    </w:p>
    <w:p>
      <w:r>
        <w:t xml:space="preserve">The delivery of threats or coercive communications through channels that cannot be traced, attributed, or reported through existing institutional mechanisms. Each element — a song title, a news story, a job listing — is individually defensible. The pattern, in aggregate, constitutes intimidation. This technique is documented in psychological operations (PSYOP) literature and intelligence community training materials.</w:t>
      </w:r>
    </w:p>
    <w:p>
      <w:r>
        <w:t xml:space="preserve"/>
      </w:r>
    </w:p>
    <w:p>
      <w:r>
        <w:rPr>
          <w:b/>
          <w:bCs/>
        </w:rPr>
        <w:t xml:space="preserve">Psychologically Tailored Targeting</w:t>
      </w:r>
    </w:p>
    <w:p>
      <w:r>
        <w:t xml:space="preserve">The use of personal data — including known relationships, professional history, fears, and vulnerabilities — to calibrate content delivered to a specific individual. Distinguished from generic threatening content by its specificity and personal relevance. Documented in academic and government literature on influence operations and behavioral targeting.</w:t>
      </w:r>
    </w:p>
    <w:p>
      <w:r>
        <w:t xml:space="preserve"/>
      </w:r>
    </w:p>
    <w:p>
      <w:r>
        <w:rPr>
          <w:b/>
          <w:bCs/>
        </w:rPr>
        <w:t xml:space="preserve">Attrition by Exhaustion</w:t>
      </w:r>
    </w:p>
    <w:p>
      <w:r>
        <w:t xml:space="preserve">A strategic approach in psychological operations in which a target is worn down through sustained low-level pressure rather than direct confrontation. The goal is to ensure the target arrives at critical decision points — meetings, legal proceedings, congressional outreach — already depleted, reducing their capacity to advocate effectively. Referenced in PSYOP doctrine and psychological warfare literature.</w:t>
      </w:r>
    </w:p>
    <w:p>
      <w:r>
        <w:t xml:space="preserve"/>
      </w:r>
    </w:p>
    <w:p>
      <w:r>
        <w:rPr>
          <w:b/>
          <w:bCs/>
        </w:rPr>
        <w:t xml:space="preserve">Boeing Whistleblower Deaths (2024)</w:t>
      </w:r>
    </w:p>
    <w:p>
      <w:r>
        <w:t xml:space="preserve">In 2024, two Boeing whistleblowers died under circumstances that received significant media coverage. John Barnett, a former Boeing quality manager, died of a self-inflicted gunshot wound in March 2024 while his legal deposition was ongoing. Joshua Dean, a former Spirit AeroSystems auditor, died of a sudden illness in May 2024. Both had raised safety concerns about Boeing aircraft. Ryan documented Instagram content featuring these stories appearing repeatedly in his feed during his congressional outreach period.</w:t>
      </w:r>
    </w:p>
    <w:p>
      <w:r>
        <w:t xml:space="preserve"/>
      </w:r>
    </w:p>
    <w:p>
      <w:pPr>
        <w:pStyle w:val="Heading2"/>
      </w:pPr>
      <w:r>
        <w:t xml:space="preserve">Key Documents On File</w:t>
      </w:r>
    </w:p>
    <w:p>
      <w:r>
        <w:t xml:space="preserve">The following primary source documents exist and are referenced throughout the manuscript:</w:t>
      </w:r>
    </w:p>
    <w:p>
      <w:r>
        <w:t xml:space="preserve"/>
      </w:r>
    </w:p>
    <w:p>
      <w:r>
        <w:t xml:space="preserve">•  SF-312 NDAs (2022 in-briefing, 2023 exit debriefing) — signed originals</w:t>
      </w:r>
    </w:p>
    <w:p>
      <w:r>
        <w:t xml:space="preserve">•  ESRI Abstract #1240 acceptance email — November 2022</w:t>
      </w:r>
    </w:p>
    <w:p>
      <w:r>
        <w:t xml:space="preserve">•  11-message @us.af.mil email chain with Dr. Jennifer Benson (GS-14, 2nd Weather Squadron)</w:t>
      </w:r>
    </w:p>
    <w:p>
      <w:r>
        <w:t xml:space="preserve">•  Written denial by Matthew R. Bartlett (GS-15, SAF/IGQ) to Senator Bob Casey</w:t>
      </w:r>
    </w:p>
    <w:p>
      <w:r>
        <w:t xml:space="preserve">•  DHS OIG fax confirmation of complaint submission</w:t>
      </w:r>
    </w:p>
    <w:p>
      <w:r>
        <w:t xml:space="preserve">•  Vanguard beneficiary tampering letter and correction confirmation (April 27, 2023)</w:t>
      </w:r>
    </w:p>
    <w:p>
      <w:r>
        <w:t xml:space="preserve">•  Leidos security debriefing documentation</w:t>
      </w:r>
    </w:p>
    <w:p>
      <w:r>
        <w:t xml:space="preserve">•  FAA Civil Rights complaint (Case No. 202329988)</w:t>
      </w:r>
    </w:p>
    <w:p>
      <w:r>
        <w:t xml:space="preserve">•  Amanda Lingo witness letter (March 4, 2023)</w:t>
      </w:r>
    </w:p>
    <w:p>
      <w:r>
        <w:t xml:space="preserve">•  Media manipulation master log with annotated screenshots</w:t>
      </w:r>
    </w:p>
    <w:p>
      <w:r>
        <w:t xml:space="preserve"/>
      </w:r>
    </w:p>
    <w:p>
      <w:pPr>
        <w:pBdr>
          <w:top w:val="single" w:color="cccccc" w:sz="6" w:space="1"/>
        </w:pBdr>
      </w:pPr>
      <w:r>
        <w:t xml:space="preserve"/>
      </w:r>
    </w:p>
    <w:p>
      <w:r>
        <w:rPr>
          <w:i/>
          <w:iCs/>
          <w:color w:val="888888"/>
          <w:sz w:val="20"/>
          <w:szCs w:val="20"/>
        </w:rPr>
        <w:t xml:space="preserve">This document is a living record. New entries will be added as each chapter is drafted.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2c2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2026-04-14T12:49:34.400Z</dcterms:created>
  <dcterms:modified xsi:type="dcterms:W3CDTF">2026-04-14T12:49:34.401Z</dcterms:modified>
</cp:coreProperties>
</file>

<file path=docProps/custom.xml><?xml version="1.0" encoding="utf-8"?>
<Properties xmlns="http://schemas.openxmlformats.org/officeDocument/2006/custom-properties" xmlns:vt="http://schemas.openxmlformats.org/officeDocument/2006/docPropsVTypes"/>
</file>