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Redacted document</w:t>
      </w:r>
    </w:p>
    <w:p>
      <w:r>
        <w:rPr>
          <w:i/>
          <w:color w:val="444444"/>
          <w:sz w:val="20"/>
        </w:rPr>
        <w:t>Source: Red_Herring_Prospectus.pdf. Personally identifiable information was replaced with consistent fake stand-ins. This file is not the original prospectus.</w:t>
      </w:r>
    </w:p>
    <w:p>
      <w:r>
        <w:t xml:space="preserve">Replacements in this run: </w:t>
      </w:r>
      <w:r>
        <w:t>address=55, company=218, email=51, name=215, phone=33</w:t>
      </w:r>
    </w:p>
    <w:p>
      <w:pPr>
        <w:pStyle w:val="Heading2"/>
      </w:pPr>
      <w:r>
        <w:t>Page 1</w:t>
      </w:r>
    </w:p>
    <w:p>
      <w:r>
        <w:rPr>
          <w:sz w:val="20"/>
        </w:rPr>
        <w:t>(Please scan this QR Code to view this Red Herring Prospectus) RED HERRING PROSPECTUS Dated December 10, 2025 Please read section 32 of the Companies Act, 2013 100% Book Built Offer WALKER PLC LIMITED CORPORATE IDENTITY NUMBER: U28129PN1979PLC141032 REGISTERED OFFICE CORPORATE OFFICE CONTACT PERSON E-MAIL AND TELEPHONE WEBSITE 6902, Example Street, Joshuashire, 888522, India 345, Example Street, Jenningsland, 281950, India Katherine Ruiz Company Secretary and Compliance Officer Email: katherine90@example.com Telephone: +91 30 8931 5417 www.kshinternational .com OUR PROMOTERS: JOSE GUTIERREZ, LISA DAY, DAVID CLARK, KRISTEN OBRIEN, SUE CAMPBELL, BARRERA FAMILY TRUST, REYES FAMILY TRUST, HART FAMILY TRUST, GONZALEZ FAMILY TRUST, WATKINS FAMILY TRUST, MORAN FAMILY TRUST AND HERNANDEZ RYAN AND BUCKLEY PRIVATE LIMITED DETAILS OF THE OFFER TO PUBLIC TYPE SIZE OF THE FRESH ISSUE SIZE OF THE OFFER FOR SALE TOTAL OFFER SIZE ELIGIBILITY AND SHARE RESERVATION AMONG QIBs, NIIs AND RIIs Fresh Issue and Offer for Sale Up to [●] Equity Shares of face value of ₹5 each aggregating up to ₹4,200.00 million Up to [●] Equity Shares of face value of ₹5 each aggregating up to ₹2,900.00 million Up to [●] Equity Shares of face value of ₹5 each aggregating up to ₹7,100.00 million 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 Investors, see “Offer Structure” on page 417. DETAILS OF THE PROMOTER SELLING SHAREHOLDERS, OFFER FOR SALE AND WEIGHTED AVERAGE COST OF ACQUISITION PER EQUITY SHARE</w:t>
      </w:r>
    </w:p>
    <w:p>
      <w:r>
        <w:br w:type="page"/>
      </w:r>
    </w:p>
    <w:p>
      <w:pPr>
        <w:pStyle w:val="Heading2"/>
      </w:pPr>
      <w:r>
        <w:t>Page 2</w:t>
      </w:r>
    </w:p>
    <w:p>
      <w:r>
        <w:rPr>
          <w:sz w:val="20"/>
        </w:rPr>
        <w:t>NAME OF THE PROMOTER SELLING SHAREHOLDER TYPE AGGREGATE AMOUNT OF OFFER FOR SALE (₹ IN MILLION) WEIGHTED AVERAGE COST OF ACQUISITION PER EQUITY SHARE OF FACE VALUE OF ₹5 EACH (IN ₹) *# Jose Gutierrez Promoter Selling Shareholder 1,528.00 1.36 Lisa Day Promoter Selling Shareholder 422.00 1.51 David Clark Promoter Selling S475.00 1.41</w:t>
      </w:r>
    </w:p>
    <w:p>
      <w:r>
        <w:br w:type="page"/>
      </w:r>
    </w:p>
    <w:p>
      <w:pPr>
        <w:pStyle w:val="Heading2"/>
      </w:pPr>
      <w:r>
        <w:t>Page 3</w:t>
      </w:r>
    </w:p>
    <w:p>
      <w:r>
        <w:rPr>
          <w:sz w:val="20"/>
        </w:rPr>
        <w:t>hareholder Kristen Obrien Promoter Selling Shareholder 475.00 1.35 * As certified by Cooper &amp; Harmon LLP, Chartered Accountants, our Statutory Auditors, by way of their certificate dated December 10, 2025. For further details, see “Summary of the Offer Document – Average cost of acquisition of Equity Shares by our Promoters and the Promoter Selling Shareholders” on page 26. # As adjusted for Split of Equity Shares and Bonus Issue. RISKS IN RELATION TO THE FIRST OFFER 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 trading in the Equity Shares nor regarding the price at which the Equity Shares will be traded after listing. GENERAL RISKS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 India (“SEBI”), nor does SEBI guarantee the accuracy or adequacy of the contents of this Red Herring Prospectus. Specific attention of the investors is invited to “Risk Factors” on page 28. ISSUER’S AND PROMOTER SELLING SHAREHOLDERS’ ABSOLUTE RESPONSIBILITY</w:t>
      </w:r>
    </w:p>
    <w:p>
      <w:r>
        <w:br w:type="page"/>
      </w:r>
    </w:p>
    <w:p>
      <w:pPr>
        <w:pStyle w:val="Heading2"/>
      </w:pPr>
      <w:r>
        <w:t>Page 4</w:t>
      </w:r>
    </w:p>
    <w:p>
      <w:r>
        <w:rPr>
          <w:sz w:val="20"/>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 or any other person, in this Red Herring Prospectus. LISTING The Equity Shares offered through this Red Herring Prospectus are proposed to be listed on the Lopez Young and Roberts Limited (“BSE”) and Flores-Montgomery Limited (“NSE”, together with BSE, the “Stock Exchanges”). For the purposes of the Offer, the Designated Stock Exchange is BSE. BOOK RUNNING LEAD MANAGERS NAME AND LOGO OF THE BOOK RUNNING LEAD Thompson Hardy and Henderson Limited Kristen Gentry/ Charles Carlson Email: pollardkelly@example.com Telephone: +91 48 9983 9324 Weeks PLC Limited Jason Hunt/ Chris Mahoney Email: iwalker@example.com Telephone: +91 27 7546 7017 REGISTRAR TO THE OFFER NAME OF THE Smith Hubbard and Higgins Private Limited (Sanchez PLC Private Limited) Jennifer Duncan Telephone: +91 42 7308 7055 E-mail: danieldana@example.com BID/OFFER PERIOD ANCHOR INVESTOR BIDDING DATE(1) Monday, December 15, 2025 BID/OFFE R OPENS ON Tuesday, December 16, 2025 BID/OFFER CLOSES ON(2) Thursday , December 18, 2025 (1) Our Company, in consultation with the Book Running Lead Managers, may consider participation by Anchor Investors in accordance with the SEBI ICDR Regulations. (2) The UPI mandate end time and date shall be at 5:00 p.m. on Bid/Offer Closing Day.</w:t>
      </w:r>
    </w:p>
    <w:p>
      <w:r>
        <w:br w:type="page"/>
      </w:r>
    </w:p>
    <w:p>
      <w:pPr>
        <w:pStyle w:val="Heading2"/>
      </w:pPr>
      <w:r>
        <w:t>Page 5</w:t>
      </w:r>
    </w:p>
    <w:p>
      <w:r>
        <w:rPr>
          <w:sz w:val="20"/>
        </w:rPr>
        <w:t>RED HERRING PROSPECTUS Dated December 10, 2025 Please read section 32 of the Companies Act, 2013 100% Book Built Offer WALKER PLC LIMITED Our Company was originally incorporated as “Lopez Washington and Brown Private Limited” under the provisions of the Companies Act, 1956, pursuant to a certificate of incorporation dated July 30, 1979, issued by the Registrar of Companies, Maharashtra at Bombay. Subsequently, the name of our Company was changed from “Lopez Washington and Brown Private Limited” to “Brown Gordon and Dunn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“Walker PLC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 Corporate Identity Number: U28129PN1979PLC141032 Registered Office: 8868, Example Street, Fryeberg, 131474, India; Corporate Office: 3993, Example Street, West Selena, 376249, India; Contact Person: Katherine Ruiz, Company Secretary and Compliance Officer; Telephone: +91 80 9556 4146; E-mail: katherine90@example.com; Website: www.kshinternational.com OUR PROMOTERS: JOSE GUTIERREZ, LISA DAY, DAVID CLARK, KRISTEN OBRIEN, SUE CAMPBELL, BARRERA FAMILY TRUST, REYES FAMILY TRUST, HART FAMILY TRUST, GONZALEZ FAMILY TRUST, WATKINS FAMILY TRUST, MORAN FAMILY TRUST AND HERNANDEZ RYAN AND BUCKLEY PRIVATE LIMITED INITIAL PUBLIC OFFERING OF UP TO [●] EQUITY SHARES OF FACE VALUE OF ₹5 EACH (“EQUITY SHARES”) OF WALKER PLC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JOSE GUTIERREZ AGGREGATING UP TO ₹1,528.00 MILLION, UP TO [●] EQUITY SHARES OF FACE VALUE OF ₹5 EACH BY LISA DAY AGGREGATING UP TO ₹422.00 MILLION, UP TO [●] EQUITY SHARES OF FACE VALUE OF ₹5 EACH BY DAVID CLARK AGGREGATING UP TO ₹475.00 MILLION AND UP TO [●] EQUITY SHARES OF FACE VALUE OF ₹5 EACH BY KRISTEN OBRIEN AGGREGATING UP TO ₹475.00 MILLION (COLLECTIVELY, “PROMOTER SELLING SHAREHOLDERS” AND SUCH OFFER FOR SALE OF EQUITY SHARES OF FACE VALUE OF ₹5 EACH BY THE PROMOTER SELLING SHAREHOLDERS, THE “OFFER FOR SALE”). THE OFFER SHALL CONSTITUTE [●]% OF THE POST-OFFER PAID UP EQUITY SHARE CAPITAL OF OUR COMPANY. 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 EXCHANGE BOARD OF INDIA (ISSUE OF CAPITAL AND DISCLOSURE REQUIREMENTS) REGULATIONS, 2018, AS AMENDED (THE “SEBI ICDR REGULATIONS”). 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 as applicable. 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 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 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 RISKS IN RELATION TO THE FIRST OFFER 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 trading in the Equity Shares nor regarding the price at which the Equity Shares will be traded after listing. GENERAL RISK 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 ISSUER’S AND PROMOTER SELLING SHAREHOLDERS’ ABSOLUTE RESPONSIBILITY 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 this Red Herring Prospectus. LISTING 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 BOOK RUNNING LEAD MANAGERS REGISTRAR TO THE OFFER</w:t>
      </w:r>
    </w:p>
    <w:p>
      <w:r>
        <w:br w:type="page"/>
      </w:r>
    </w:p>
    <w:p>
      <w:pPr>
        <w:pStyle w:val="Heading2"/>
      </w:pPr>
      <w:r>
        <w:t>Page 6</w:t>
      </w:r>
    </w:p>
    <w:p>
      <w:r>
        <w:rPr>
          <w:sz w:val="20"/>
        </w:rPr>
        <w:t>Conway Inc Limited 1225, Example Street, New Dylanmouth, 741188, India Tel: +91 43 4789 6613 E-mail: pollardkelly@example.com Website: www.nuvama.com Investor grievance email: kristina78@example.com Contact Person: Kristen Gentry/ Andrew Graves Number: Curtis Daniels and Garza Limited 478, Example Street, Prestonville, 953428, India Tel: +91 27 7546 7017 E-mail: iwalker@example.com Website: www.icicisecurities.com Investor grievance email: veronicagonzalez@example.com Contact Person: Jason Hunt/Kayla Trevino Number: Dunn Mckay and Herman Private Limited (Sanchez PLC Private Limited) 945, Example Street, Ralphshire, 972296, India Tel: +91 42 7308 7055 E-mail: danieldana@example.com Website: www.in.mpms.mufg.com Investor grievance e-mail: danieldana@example.com Contact Person: Rebecca Lindsey Number: INR000004058 BID/ OFFER PERIOD ANCHOR INVESTOR BIDDING DATE(1) Monday, December 15, 2025 BID/OFFER OPENS ON Tuesday, December 16, 2025 BID/OFFER CLOSES ON(2) Thursday, December 18, 2025 (1) Our Company, in consultation with the Book Running Lead Managers, may consider participation by Anchor Investors in accordance with the SEBI ICDR Regulations. (2) The UPI mandate end time and date shall be at 5:00 p.m. on Bid/Offer Closing Day.</w:t>
      </w:r>
    </w:p>
    <w:p>
      <w:r>
        <w:br w:type="page"/>
      </w:r>
    </w:p>
    <w:p>
      <w:pPr>
        <w:pStyle w:val="Heading2"/>
      </w:pPr>
      <w:r>
        <w:t>Page 7</w:t>
      </w:r>
    </w:p>
    <w:p>
      <w:r>
        <w:rPr>
          <w:sz w:val="20"/>
        </w:rPr>
        <w:t>TABLE OF CONTENTS 1 SECTION I - GENERAL ................................ ................................ ................................ ................................ ................... 2 DEFINITIONS AND ABBREVIATIONS ................................ ................................ ................................ ........................ 2 CERTAIN CONVENTIONS, USE OF FINANCIAL INFORMATION AND MARKET DATA AND CURRENCY OF PRESENTATION ................................ ................................ ................................ ................................ ........................... 15 FORWARD-LOOKING STATEMENTS ................................ ................................ ................................ ........................ 18 SUMMARY OF THE OFFER DOCUMENT ................................ ................................ ................................ .................. 20 SECTION II: RISK FACTORS ................................ ................................ ................................ ................................ ........28 SECTION III – INTRODUCTION................................ ................................ ................................ ................................ ...67 THE OFFER ................................ ................................ ................................ ................................ ................................ ...67 SUMMARY FINANCIAL STATEMENTS ................................ ................................ ................................ ..................... 69 GENERAL INFORMATION ................................ ................................ ................................ ................................ ..........74 CAPITAL STRUCTURE ................................ ................................ ................................ ................................ ................ 84</w:t>
      </w:r>
    </w:p>
    <w:p>
      <w:r>
        <w:br w:type="page"/>
      </w:r>
    </w:p>
    <w:p>
      <w:pPr>
        <w:pStyle w:val="Heading2"/>
      </w:pPr>
      <w:r>
        <w:t>Page 8</w:t>
      </w:r>
    </w:p>
    <w:p>
      <w:r>
        <w:rPr>
          <w:sz w:val="20"/>
        </w:rPr>
        <w:t>SECTION I - GENERAL 2 DEFINITIONS AND ABBREVIATIONS 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 Unless the context otherwise indicates, all references to “we”, “us”, “our”, “the Company”, and “our Company”, are references to Walker PLC Limited, a company incorporated on July 30, 1979 under the Companies Act, 1956 and having its Registered Office at 8868, Example Street, Fryeberg, 131474, India and its Corporate Office at 3993, Example Street, West Selena, 376249, India. The words and expressions used in this Red Herring Prospectus but not defined herein, shall have, to the extent applicable, the meanings ascribed to such terms under the Companies Act, the SEBI Act, the SEBI ICDR Regulations, the SCRA, SCRR, and the Depositories Act, as amended. 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 General Terms Term Description Our Company/ the Ortega-Scott Limited, a public limited company incorporated under the Companies Act, 1956, having its registered office at 8868, Example Street, Fryeberg, 131474, India We/ us/ our Unless context otherwise indicates or implies, refers to our Company Company Related Terms Term Description AoA/Articles of Association or Articles The articles of association of our Company, as amended from time to time Audit Committee Audit committee of our Board, as disclosed in “Our Management – Corporate Governance – Committees of our Board” on page 257 Auditors/ Statutory Auditors The current statutory auditors of our Company, being Cooper &amp; Harmon LLP, Chartered Accountants Board/ Board of Directors The board of directors of our Company. For further details, see “Our Management – Board of Directors” on page 250 Bonus Issue Bonus issue undertaken on February 21, 2025, in the ratio of four Equity Shares of face value of ₹5 for every one Equity Share of face value of ₹5 held by our Shareholders as on February 10, 2025. For further details, please see “Capital Structure – Equity Share capital history of our Company” on page 85</w:t>
      </w:r>
    </w:p>
    <w:p>
      <w:r>
        <w:br w:type="page"/>
      </w:r>
    </w:p>
    <w:p>
      <w:pPr>
        <w:pStyle w:val="Heading2"/>
      </w:pPr>
      <w:r>
        <w:t>Page 9</w:t>
      </w:r>
    </w:p>
    <w:p>
      <w:r>
        <w:rPr>
          <w:sz w:val="20"/>
        </w:rPr>
        <w:t>SECTION I - GENERAL 3 CARE Report Report titled “Industry Research Report on Magnet Winding Wires Market in India” dated November 26, 2025, prepared and issued by Davis Evans and Mckinney Private Limited which has been commissioned by and paid for by our Company pursuant to an engagement letter dated December 2, 2024 entered into with Davis Evans and Mckinney Private Limited, exclusively for the purposes of the Offer. The report will be available on the website of our Company at https://kshinternational.com/investor-relations/industry-report/ from the date of this Red Herring Prospectus until the Bid/Offer Closing Date Chairman and Executive Director The chairman and executive director of our Company, being Jose Gutierrez. For further details, see “Our Management – Board of Directors” on page 250 Chief Executive Officer/ CEO The chief executive officer of our Company, being Michael Nelson. For further details, see “Our Management – Key Managerial Personnel and Senior Management” on page 266 Chief Financial Officer/ CFO The chief financial officer of our Company, being Kelly Chambers. For further details, see “Our Management – Key Managerial Personnel and Senior Management” on page 266 Company Secretary/ CS and Compliance Officer The company secretary and compliance officer of our Company, being Katherine Ruiz. For further details, see “General Information” and “Our Management – Key Managerial Personnel and Senior Management” on pages 74 and 266, respectively.</w:t>
      </w:r>
    </w:p>
    <w:p>
      <w:r>
        <w:br w:type="page"/>
      </w:r>
    </w:p>
    <w:p>
      <w:pPr>
        <w:pStyle w:val="Heading2"/>
      </w:pPr>
      <w:r>
        <w:t>Page 10</w:t>
      </w:r>
    </w:p>
    <w:p>
      <w:r>
        <w:rPr>
          <w:sz w:val="20"/>
        </w:rPr>
        <w:t>4 Term Description Corporate Office The corporate office of our company located at 3993, Example Street, West Selena, 376249, India Corporate Promoter Hernandez Ryan and Buckley Private Limited CSR Committee/ Corporate Social Responsibility Committee The corporate social responsibility committee of our Board, as disclosed in “Our Management – Corporate Governance – Committees of our Board” on page 257 Director(s) The director(s) on our Board. For further details, see “Our Management – Board of Directors” on page 250 Equity Shares The equity shares of our Company of face value of ₹5 each, unless otherwise stated Executive Director(s) Executive director(s) on our Board. For further details, see “Our Management – Board of Directors” on page 250 ESOP 2025 The employee stock option plan of our Company titled, ‘KSH Employee Angel Brown 2025’ approved by our Board and Shareholders each in their meeting May 6, 2025 Family Branch(es) Parents Branch, Rajesh Branch, Sangeeta Branch, Rakhi Branch and Rohit Branch Group Companies The companies identified as ‘group companies’ in accordance with Regulation 2(1)(t) of the SEBI ICDR Regulations and the Materiality Policy. For further details, see “Our Group Companies” on page 396 Group Entities Entities, namely, Ayers-Campbell Private Limited, Henry-Allen Private Limited, Brown Ltd Private Limited, Davis-Lewis Private Limited, Roberts Reed and House Private Limited, Green LLC Private Limited, Luna-Bradley Private Limited, Smith Perez and Moore Private Limited, Torres LLC Private Limited, Hoover Miller and Vasquez Private Limited, Lopez Ltd Private Limited, Mathews Bowers and Zamora Private Limited, Hernandez Ryan and Buckley Private Limited, Bradley LLC Private Limited, Petty-Riley Private Limited, Mason Murphy and Burgess Private Limited, Perry-Wilson Private Limited, and Hernandez Ltd Private Limited Independent Director(s) Non-executive and independent director(s) on our Board. For further details, see “Our Management – Board of Directors” on page 250 Independent Chartered Engineer The independent chartered engineer appointed by our Company, namely, Tyler Thornton bearing registration number M-140388 Industry Data Provider/ CareEdge Research The industry data provider being, Davis Evans and Mckinney Private Limited IPO Committee The IPO committee of our Board constituted to facilitate the process of the Offer Joint Managing Director The joint managing director of our Company being, Kristen Obrien. For further details, see “Our Management” on page 250 KMP/ Key Managerial Personnel Key managerial personnel of our Company in terms of Regulation 2(1)(bb) of the SEBI ICDR Regulations and Section 2(51) of the Companies Act, 2013 and as further disclosed in “Our Management – Key Managerial Personnel and Senior Management” on page 266 Managing Director The managing director of our Company, namely David Clark. For further information, see “Our Management – Board of Directors” on page 250 Materiality Policy 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 requirements under the SEBI ICDR Regulations, for the purposes of disclosure in the Draft Red Herring Prospectus, this Red Herring Prospectus and the Prospectus MoA/ Memorandum of Association The memorandum of association of our Company, as amended Nomination and Remuneration Committee The nomination and remuneration committee of our Board, as disclosed in “Our Management – Committees of our Board” on page 257</w:t>
      </w:r>
    </w:p>
    <w:p>
      <w:r>
        <w:br w:type="page"/>
      </w:r>
    </w:p>
    <w:p>
      <w:pPr>
        <w:pStyle w:val="Heading2"/>
      </w:pPr>
      <w:r>
        <w:t>Page 11</w:t>
      </w:r>
    </w:p>
    <w:p>
      <w:r>
        <w:rPr>
          <w:sz w:val="20"/>
        </w:rPr>
        <w:t>5 Non-Executive Non- Independent Director(s) The non-executive non-independent Directors on our Board, as disclosed in “Our Management – Board of Directors” on page 250 Parents Branch Jose Gutierrez, Lisa Day, Gonzalez Family Trust and Barrera Family Trust Promoter Group Persons and entities, excluding our Promoters constituting the promoter group of our Company in terms of Regulation 2(1)(pp) of the SEBI ICDR Regulations, as disclosed in “Our Promoters and Promoter Group” on page 269 Promoters Jose Gutierrez, Lisa Day, David Clark, Kristen Obrien and Sue Campbell, Barrera Family Trust, Reyes Family Trust, Hart Family Trust, Gonzalez Family Trust, Watkins Family Trust, Moran Family Trust and Hernandez Ryan and Buckley Private Limited Promoter Selling Shareholders Jose Gutierrez, Lisa Day, David Clark and Kristen Obrien Promoter Trusts Barrera Family Trust, Reyes Family Trust, Hart Family Trust, Gonzalez Family Trust, Watkins Family Trust, and Moran Family Trust Rajesh Branch David Clark, his spouse, his children, lineal descendants and Reyes Family Trust Rakhi Branch Sue Campbell, her spouse (if any), her children, lineal descendants and Watkins Family Trust Registered Office The registered office of our Company located at 182, Example Street, South Gregory, 887163, India – 410 501, Maharashtra, India</w:t>
      </w:r>
    </w:p>
    <w:p>
      <w:r>
        <w:br w:type="page"/>
      </w:r>
    </w:p>
    <w:p>
      <w:pPr>
        <w:pStyle w:val="Heading2"/>
      </w:pPr>
      <w:r>
        <w:t>Page 12</w:t>
      </w:r>
    </w:p>
    <w:p>
      <w:r>
        <w:rPr>
          <w:sz w:val="20"/>
        </w:rPr>
        <w:t>6 Term Description Registrar of Companies/RoC The Registrar of Companies, Maharashtra at Pune Restated Financial Statements 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Risk Management Committee The risk management committee of our Board, as disclosed in “Our Management – Corporate Governance - Committees of our Board” on page 257 Rohit Branch Kristen Obrien, his spouse, his children, lineal descendants and Hart Family Trust Sangeeta Branch Anthony Thompson, her spouse, her children, lineal descendants and Moran Family Trust Split of Equity Shares Pursuant to a resolution passed by our Board and Shareholders dated February 10, 2025 and February 11, 2025, respectively, our Company sub-divided the face value of its equity shares from ₹100 per equity share to ₹5 per Equity Share. For further details, see “Summary of the Offer Document” and “Capital Structure – Notes to Capital Structure – Equity Share Capital History of our Company” on pages 20 and 85, respectively Senior Management/ SM Our senior management in terms of Regulation 2(1)(bbbb) of the SEBI ICDR Regulations and as disclosed in “Our Management – Key Managerial Personnel and Senior Management” on page 266 Shareholders The holders of the Equity Shares from time to time Stakeholders Relationship Committee The stakeholders’ relationship committee of our Board, as disclosed in “Our Management – Corporate Governance – Committees of our Board” on page 257 Supa Facility Our manufacturing facility located at Supa Ahilyanagar (formerly Ahmednagar) in Maharashtra Unit 1 Our manufacturing facility located at 1925, Example Street, New Rebeccaport, 841631, India Unit 2 Our manufacturing facility located at 8868, Example Street, Fryeberg, 131474, India Unit 3 Our manufacturing facility located at 60332, Example Street, South Vincent, 842504, India Whole-time Director The whole-time director of our Company being, Sue Campbell. For further information, see “Our Management – Board of Directors” on page 250 Offer Related Terms Term Description Abridged Prospectus Abridged prospectus means a memorandum containing such salient features of a prospectus as may be specified by the SEBI in this behalf Acknowledgement Slip The slip or document issued by the relevant Designated Intermediary(ies) to a Bidder as proof of registration of the Bid cum Application Form Allot/ Allotment/ Allotted Unless the context otherwise requires, the allotment of the Equity Shares pursuant to the Fresh Issue and transfer of the Offered Shares by the Promoter Selling Shareholders pursuant to the Offer for Sale to successful Bidders</w:t>
      </w:r>
    </w:p>
    <w:p>
      <w:r>
        <w:br w:type="page"/>
      </w:r>
    </w:p>
    <w:p>
      <w:pPr>
        <w:pStyle w:val="Heading2"/>
      </w:pPr>
      <w:r>
        <w:t>Page 13</w:t>
      </w:r>
    </w:p>
    <w:p>
      <w:r>
        <w:rPr>
          <w:sz w:val="20"/>
        </w:rPr>
        <w:t>7 Allotment Advice Note or advice or intimation of Allotment sent to the Bidders who have been or are to be Allotted the Equity Shares after the Basis of Allotment has been approved by the Designated Stock Exchange Allottee A successful Bidder to whom the Equity Shares are Allotted Anchor Investor A Qualified Institutional Buyer, applying under the Anchor Investor Portion in accordance with the SEBI ICDR Regulations and this Red Herring Prospectus, and who has Bid for an amount of at least ₹100 million Anchor Investor Allocation Price The price at which Equity Shares will be allocated to Anchor Investors according to the terms of this Red Herring Prospectus and the Prospectus, which will be decided by our Company in consultation with the BRLMs on the Anchor Investor Bid/Offer Date Anchor Investor Application Form The application form used by an Anchor Investor to make a Bid in the Anchor Investor Portion, and which will be considered as an application for Allotment in terms of this Red Herring Prospectus and the Prospectus Anchor Investor Bidding Date The date, one Working Day prior to the Bid/ Offer Opening Date, on which Bids by Anchor Investors shall be submitted, prior to and after which BRLMs will not accept any Bids from Regina Acosta, and allocation to Anchor Investors shall be completed</w:t>
      </w:r>
    </w:p>
    <w:p>
      <w:r>
        <w:br w:type="page"/>
      </w:r>
    </w:p>
    <w:p>
      <w:pPr>
        <w:pStyle w:val="Heading2"/>
      </w:pPr>
      <w:r>
        <w:t>Page 14</w:t>
      </w:r>
    </w:p>
    <w:p>
      <w:r>
        <w:rPr>
          <w:sz w:val="20"/>
        </w:rPr>
        <w:t>8 Term Description Anchor Investor Offer Price The final price at which the Equity Shares will be issued and Allotted to Anchor Investors in terms of this Red Herring Prospectus and the Prospectus, which price will be equal to or higher than the Offer Price but not higher than the Cap Price. The Anchor Investor Offer Price will be decided by our Company in consultation with the BRLMs Anchor Investor Pay in-Date With respect to Anchor Investor(s), it shall be the Anchor Investor Bidding Date, and in the event the Anchor Investor Allocation Price is lower than the Offer Price, not later than two Working Days after the Bid/Offer Closing Date Anchor Investor Portion 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may be allocated to domestic Mutual Funds., in accordance with the SEBI ICDR Regulations Application Supported by Blocked Amount/ ASBA An application, whether physical or electronic, used by ASBA Bidders, to make a Bid and authorising an SCSB to block the Bid Amount in the relevant ASBA Account and will include applications made by UPI Bidders where the Bid Amount will be blocked upon acceptance of UPI Mandate Request by the UPI Bidders ASBA Account 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 ASBA Bidders All Bidders except Anchor Investors ASBA Form An application form, whether physical or electronic, used by ASBA Bidders to submit Bids which will be considered as the application for Allotment in terms of this Red Herring Prospectus and the Prospectus ASM Additional Surveillance Measure Bankers to the Offer Collectively, the Escrow Collection Bank, the Refund Bank, the Public Offer Account Bank and the Sponsor Banks Basis of Allotment Basis on which Equity Shares will be Allotted to successful Bidders under the Offer, as described in “Offer Procedure” on page 420 Bid 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 accordingly Bid Amount 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 submission of the Bid in the Offer, as applicable Bid cum Application Form The Anchor Investor Application Form or the ASBA Form, as the context requires. Bid Lot [●] Equity Shares of face value of ₹5 each and in multiples of [●] Equity Shares of face value of ₹5 each thereafter</w:t>
      </w:r>
    </w:p>
    <w:p>
      <w:r>
        <w:br w:type="page"/>
      </w:r>
    </w:p>
    <w:p>
      <w:pPr>
        <w:pStyle w:val="Heading2"/>
      </w:pPr>
      <w:r>
        <w:t>Page 15</w:t>
      </w:r>
    </w:p>
    <w:p>
      <w:r>
        <w:rPr>
          <w:sz w:val="20"/>
        </w:rPr>
        <w:t>9 Bid/Offer Closing Date 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 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 advertisement in same newspapers in which the Bid/ Offer Opening Date was published, as required under the SEBI ICDR Regulations Bid/Offer Opening Date Except in relation to any Bids received from the Anchor Investors, the date on which the Designated Intermediaries shall start accepting Bids, being December 16, 2025, which shall be published in all editions of Financial Express (a widely circulated English national daily</w:t>
      </w:r>
    </w:p>
    <w:p>
      <w:r>
        <w:br w:type="page"/>
      </w:r>
    </w:p>
    <w:p>
      <w:pPr>
        <w:pStyle w:val="Heading2"/>
      </w:pPr>
      <w:r>
        <w:t>Page 16</w:t>
      </w:r>
    </w:p>
    <w:p>
      <w:r>
        <w:rPr>
          <w:sz w:val="20"/>
        </w:rPr>
        <w:t>10 Term Description newspaper), all editions of Jansatta (a widely circulated Hindi national daily newspaper), and Pune edition of Loksatta (a widely circulated Marathi daily newspaper, Marathi being the regional language of Maharashtra, where our Registered Office is located) Bid/ Offer Period 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 In cases of force majeure, banking strike or similar unforeseen circumstances, our Company may, for reasons to be recorded in writing, extend the Bid/Offer Period for a minimum of one Working Day, subject to the Bid/Offer Period not exceeding 10 Working Days Bidder Any prospective investor who makes a Bid pursuant to the terms of this Red Herring Prospectus and the Bid cum Application Form and unless otherwise stated or implied, includes an Anchor Investor Bidding Centres Centres at which the Designated Intermediaries shall accept the ASBA Forms, i.e., Designated SCSB Branches for SCSBs, Specified Locations for Syndicate, Broker Centres for Registered Brokers, Designated RTA Locations for RTAs and Designated CDP Locations for CDPs Book Building Process Book building process, as provided in Schedule XIII of the SEBI ICDR Regulations, in terms of which the Offer is being made Book Running Lead Managers/ BRLMs/Managers The book running lead managers to the Offer namely, Conway Inc Limited and Weeks PLC Limited Broker Centres 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 CAN/ Confirmation of Allocation Note Notice or intimation of allocation of the Equity Shares sent to Anchor Investors, who have been allocated the Equity Shares, on/after the Anchor Investor Bidding Date Cap Price 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 Cash Escrow and Sponsor Banks Agreement 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Regina Acosta, transfer of funds to the Public Offer Account and where applicable, refunds of the amounts collected from Bidders, on the terms and conditions thereof Client ID Client identification number maintained with one of the Depositories in relation to the Bidder’s beneficiary account Collecting Depository Participant/ CDP 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 Exchanges at www.bseindia.com and www.nseindia.com, as updated from time to time</w:t>
      </w:r>
    </w:p>
    <w:p>
      <w:r>
        <w:br w:type="page"/>
      </w:r>
    </w:p>
    <w:p>
      <w:pPr>
        <w:pStyle w:val="Heading2"/>
      </w:pPr>
      <w:r>
        <w:t>Page 17</w:t>
      </w:r>
    </w:p>
    <w:p>
      <w:r>
        <w:rPr>
          <w:sz w:val="20"/>
        </w:rPr>
        <w:t>11 Cut-off Price Offer Price, finalised by our Company, in consultation with the BRLMs, which shall be any price within the Price Band. Only Retail Individual Investors Bidding in the Retail Portion are entitled to Bid at the Cut- off Price. QIBs (including Anchor Investors) and Non-Institutional Investors are not entitled to Bid at the Cut-off Price Demographic Details Details of the Bidders including the Bidder’s address, name of the Bidder’s father/husband, investor status, occupation and bank account details and UPI ID, where applicable Designated CDP Locations Such locations of the CDPs where Bidders (other than Anchor Investors) can submit the ASBA Forms. The details of such Designated CDP Locations, along with names and contact details of the Collecting Depository Participants eligible to accept ASBA Forms are available on the respective websites of the Stock Exchanges at www.bseindia.com and www.nseindia.com and updated from time to time Designated Date The date on which funds are transferred from the Escrow Accounts and the amounts blocked are transferred from the ASBA Accounts, as the case may be, to the Public Offer Account or the Refund Account, as appropriate, in terms of this Red Herring Prospectus and the Prospectus, after finalisation of the Basis of Allotment in consultation with the Designated Stock Exchange, following which Equity Shares may be Allotted to successful Bidders in the Offer Designated Intermediaries In relation to ASBA Forms submitted by UPI Bidders (not using the UPI Mechanism) authorizing an SCSB to block the Bid Amount in the ASBA Account, Designated Intermediaries shall mean SCSBs.</w:t>
      </w:r>
    </w:p>
    <w:p>
      <w:r>
        <w:br w:type="page"/>
      </w:r>
    </w:p>
    <w:p>
      <w:pPr>
        <w:pStyle w:val="Heading2"/>
      </w:pPr>
      <w:r>
        <w:t>Page 18</w:t>
      </w:r>
    </w:p>
    <w:p>
      <w:r>
        <w:rPr>
          <w:sz w:val="20"/>
        </w:rPr>
        <w:t>12 Term Description In relation to ASBA Forms submitted by UPI Bidders where the Bid Amount will be blocked upon acceptance of UPI Mandate Request by such UPI Bidders using the UPI Mechanism, Designated Intermediaries shall mean Syndicate, sub-syndicate, Registered Brokers, CDPs and RTAs. In relation to ASBA Forms submitted by QIBs and NIIs (not using the UPI Mechanism), Designated Intermediaries shall mean SCSBs, Syndicate, sub-Syndicate, Registered Brokers, CDPs and RTAs Designated RTA Locations Such centres of the RTAs where ASBA Bidders can submit the ASBA Forms (in case of UPI Bidder only ASBA Forms under UPI). The details of such Designated RTA Locations, along with the names and contact details of the RTAs are available on the respective websites of the Stock Exchanges at www.bseindia.com and www.nseindia.com and as updated from time to time Designated SCSB Branches Such branches of the SCSBs which shall collect the ASBA Forms, a list of which is available on the website of SEBI at www.sebi.gov.in/sebiweb/other/OtherAction.do?doRecognised=yes or at such other website as may be prescribed by SEBI from time to time Designated Stock Exchange BSE Draft Red Herring Prospectus/ DRHP The draft red herring prospectus dated May 22, 2025, issued in accordance with the SEBI ICDR Regulations, which did not contain complete particulars of the price at which the Equity Shares will be Allotted and the size of the Offer Eligible FPI(s) FPIs that are eligible to participate in this Offer in terms of applicable laws Eligible NRI(s) 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 Escrow Accounts Accounts opened with the Escrow Collection Bank and in whose favour Anchor Investors will transfer the money through direct credit/NEFT/RTGS/NACH in respect of the Bid Amount while submitting a Bid Escrow Collection Bank The bank, which is a clearing member registered with SEBI as banker to an issue under the SEBI BTI Regulations and with whom the Escrow Accounts have been opened, in this case being Lopez Bank Limited First Bidder Bidder whose name shall be mentioned in the Bid cum Application Form or the Revision Form and in case of joint Bids, whose name shall also appear as the first holder of the beneficiary account held in joint names Floor Price The lower end of the Price Band, subject to any revision(s) thereto, at or above which the Offer Price and the Anchor Investor Offer Price will be finalised and below which no Bids will be accepted Fraudulent Borrower Fraudulent borrower as defined under Regulation 2(1)(lll) of the SEBI ICDR Regulations Fresh Issue The fresh issue of up to [●] Equity Shares of face value of ₹5 each by our Company, at ₹[●] per Equity Share (including a premium of ₹[●] per Equity Share) aggregating up to ₹4,200.00 million. For information, see “The Offer” on page 67 Fugitive Economic Offender An individual who is declared a fugitive economic offender under Section 12 of the Fugitive Economic Offenders Act, 2012 General Information Document The General Information Document for investing in public offers, prepared and issued in accordance with the SEBI circular (SEBI/HO/CFD/DIL1/CIR/P/2020/37) dated March 17, 2020, issued by SEBI, suitably modified and updated pursuant to, among others, the UPI Circulars and any subsequent circulars or notifications issued by SEBI from time to time GSM Graded Surveillance Measures Gross Proceeds The gross proceeds of the Fresh Issue</w:t>
      </w:r>
    </w:p>
    <w:p>
      <w:r>
        <w:br w:type="page"/>
      </w:r>
    </w:p>
    <w:p>
      <w:pPr>
        <w:pStyle w:val="Heading2"/>
      </w:pPr>
      <w:r>
        <w:t>Page 19</w:t>
      </w:r>
    </w:p>
    <w:p>
      <w:r>
        <w:rPr>
          <w:sz w:val="20"/>
        </w:rPr>
        <w:t>13 Ramirez-Flynn Limited Life Insurance Companies An entity registered with the Insurance Regulatory and Development Authority of India under the provisions of the Insurance Act, 1938 Monitoring Agency The monitoring agency appointed pursuant to the Monitoring Agency Agreement, namely Lopez Group Limited Monitoring Agency Agreement The agreement dated December 6, 2025 entered into between our Company and the Monitoring Agency prior to filing of this Red Herring Prospectus Mutual Fund Portion The portion of the Offer being 5% of the Net QIB Portion consisting of [●] Equity Shares of face value of ₹5 each which shall be available for allocation to Mutual Funds only on a proportionate basis, subject to valid Bids being received at or above the Offer Price Mutual Funds Mutual funds registered with SEBI under the SEBI Mutual Funds Regulations Net Proceeds The proceeds of the Fresh Issue less our Company’s share of the Offer related expenses. For details regarding the use of the Net Proceeds and the Offer related expenses, see “Objects of the Offer – Utilization of Net Proceeds” on page 107 Net QIB Portion The portion of the QIB Portion less the number of Equity Shares Allotted to the Anchor Investors Non-Institutional Investors/ NIIs All Bidders that are not QIBs or Retail Individual Investors and who have Bid for Equity Shares for an amount more than ₹0.20 million (but not including NRIs other than Eligible NRIs) Non-Institutional Portion The portion of the Offer being not less than 15% of the Offer consisting of [●] Equity Shares of face value of ₹5 each which shall be available for allocation to Non-Institutional Investors, of which (a) one-third portion shall be reserved for applicants with application size of more than ₹0.20 million and up to ₹1.00 million, and (b) two-thirds portion shall be reserved for applicants</w:t>
      </w:r>
    </w:p>
    <w:p>
      <w:r>
        <w:br w:type="page"/>
      </w:r>
    </w:p>
    <w:p>
      <w:pPr>
        <w:pStyle w:val="Heading2"/>
      </w:pPr>
      <w:r>
        <w:t>Page 20</w:t>
      </w:r>
    </w:p>
    <w:p>
      <w:r>
        <w:rPr>
          <w:sz w:val="20"/>
        </w:rPr>
        <w:t>14 Term Description with application size of more than ₹1.00 million, provided that the unsubscribed portion in either of such sub-categories may be allocated to applicants in the other sub-category of Non- Institutional Investors, subject to valid Bids being received at or above the Offer Price Non-Resident A person resident outside India, as defined under FEMA and includes NRIs, FPIs and Alexander-Andrade Limited Offer 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 aggregating to ₹2,900.00 million by the Promoter Selling Shareholders Offer Agreement The agreement dated May 22, 2025, amongst our Company, the Promoter Selling Shareholders and the BRLMs, pursuant to which certain arrangements are agreed to in relation to the Offer Offer for Sale The offer for sale component of the Offer of up to [●] Equity Shares of face value of ₹5 each aggregating up to ₹2,900.00 million, comprising of an offer for sale of up to [●] Equity Shares of face value of ₹5 each by Jose Gutierrez aggregating up to ₹1,528.00 million, up to [●] Equity Shares of face value of ₹5 each by Lisa Day aggregating up to ₹422.00 million, up to [●] Equity Shares of face value of ₹5 each by David Clark aggregating up to ₹475.00 million and up to [●] Equity Shares of face value of ₹5 each by Kristen Obrien aggregating up to ₹475.00 million Offer Price ₹[●]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 The Offer Price will be decided by our Company, in consultation with the BRLMs on the Pricing Date, in accordance with the Book Building Process and in terms of this Red Herring Prospectus Offer Proceeds The proceeds of the Fresh Issue which shall be available to our Company and the proceeds from the Offer for Sale which shall be available to the Promoter Selling Shareholders. For further information about use of the Offer Proceeds, please see section titled “Objects of the Offer” on page 106 Offered Shares Up to [●] Equity Shares of face value of ₹5 each aggregating to ₹2,900.00 million being offered for sale by the Promoter Selling Shareholders in the Offer for Sale component of the Offer Pension Fund A fund registered with the Pension Fund Regulatory and Development Authority under the provisions of the Pension Fund Regulatory and Development Authority Act, 2013</w:t>
      </w:r>
    </w:p>
    <w:p>
      <w:r>
        <w:br w:type="page"/>
      </w:r>
    </w:p>
    <w:p>
      <w:pPr>
        <w:pStyle w:val="Heading2"/>
      </w:pPr>
      <w:r>
        <w:t>Page 21</w:t>
      </w:r>
    </w:p>
    <w:p>
      <w:r>
        <w:rPr>
          <w:sz w:val="20"/>
        </w:rPr>
        <w:t>15 Price Band Price band of a minimum price of ₹[●] per Equity Share (Floor Price) and the maximum price of ₹[●]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 purpose of uploading on their respective websites Pricing Date The date on which our Company, in consultation with the BRLMs, will finalise the Offer Price Prospectus 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 or corrigenda thereto Public Offer Account Bank The bank with which the Public Offer Account has been opened for collection of Bid Amounts from David Burton and ASBA Accounts on the Designated Date, in this case being Dominguez Bank Limited Public Offer Account Bank account opened with the Public Offer Account Bank under Section 40(3) of the Companies Act, 2013, to receive monies from the Escrow Accounts and ASBA Accounts on the Designated Date QIB Portion 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 Regulations), subject to valid Bids being received at or above the Offer Price or the Anchor Investor Offer Price (for Anchor Investors) Qualified Institutional Buyer(s)/ QIB(s)/ QIB Bidder(s) Qualified institutional buyers as defined under Regulation 2(1)(ss) of the SEBI ICDR Regulations</w:t>
      </w:r>
    </w:p>
    <w:p>
      <w:r>
        <w:br w:type="page"/>
      </w:r>
    </w:p>
    <w:p>
      <w:pPr>
        <w:pStyle w:val="Heading2"/>
      </w:pPr>
      <w:r>
        <w:t>Page 22</w:t>
      </w:r>
    </w:p>
    <w:p>
      <w:r>
        <w:rPr>
          <w:sz w:val="20"/>
        </w:rPr>
        <w:t>16 Term Description Red Herring Prospectus/ RHP 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 The Bid/Offer Opening Date is December 16, 2025, which is at least three Working Days after filing of this Red Herring Prospectus with the RoC. This Red Herring Prospectus will become the Prospectus upon filing with the RoC after the Pricing Date, including any addenda or corrigenda thereto Refund Account The account opened with the Refund Bank, from which refunds, if any, of the whole or part of the Bid Amount to the Anchor Investors shall be made. Refund Bank The bank which is a clearing member registered with SEBI under the SEBI BTI Regulations with whom the Refund Account has been opened, in this case being Lopez Bank Limited Registered Brokers Stockbrokers registered with the stock exchanges having nationwide terminals, other than the members of the Syndicate and eligible to procure Bids in terms of the SEBI ICDR Master Circular and the SEBI circular no. CIR/CFD/14/2012 dated October 4, 2012, and the UPI Circulars RTAs/Registrar and Share Transfer Agents The registrar and share transfer agents registered with SEBI and eligible to procure Bids at the Designated RTA Locations as per the list available on the websites of BSE and NSE, and the UPI Circulars Registrar Agreement The agreement dated May 22, 2025 between our Company, the Promoter Selling Shareholders and the Registrar to the Offer in relation to the responsibilities and obligations of the Registrar to the Offer pertaining to the Offer Registrar to the Offer Lozano Group Private Limited (Sanchez PLC Private Limited) Retail Individual Investors(s)/ RII(s) Individual Bidders, who have Bid for the Equity Shares for an amount not more than ₹0.20 million in any of the bidding options in the Offer (including HUFs applying through their Karta and Eligible NRIs and does not include NRIs other than Eligible NRIs) Retail Portion The portion of the Offer being not less than 35% of the Offer consisting of [●] Equity Shares of face value of ₹5 each, available for allocation to Retail Individual Investors as per the SEBI ICDR Regulations, subject to valid Bids being received at or above the Offer Price Revision Form Form used by the Bidders to modify the quantity of the Equity Shares or the Bid Amount in any of their ASBA Form(s) or any previous Revision Form(s) QIB Bidders and Non-Institutional Investors are not allowed to withdraw or lower their Bids (in terms of quantity of Equity Shares or the Bid Amount) at any stage. Retail Individual Investors can revise their Bids during the Bid/Offer Period and withdraw their Bids until Bid/Offer Closing Date SCORES SEBI Complaints Redressal Mechanism Self-Certified Syndicate Bank(s)/ SCSB(s) (i)The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 (ii) The banks registered with SEBI, enabled for UPI Mechanism, a list of which is available on the website of SEBI at www.sebi.gov.in/sebiweb/other/OtherAction.do?doRecognisedFpi=yes&amp;intmId=40 or such other website as updated from time to time Share Escrow Agent The share escrow agent appointed pursuant to the Share Escrow Agreement, namely, Lozano Group Private Limited (Sanchez PLC Private Limited)</w:t>
      </w:r>
    </w:p>
    <w:p>
      <w:r>
        <w:br w:type="page"/>
      </w:r>
    </w:p>
    <w:p>
      <w:pPr>
        <w:pStyle w:val="Heading2"/>
      </w:pPr>
      <w:r>
        <w:t>Page 23</w:t>
      </w:r>
    </w:p>
    <w:p>
      <w:r>
        <w:rPr>
          <w:sz w:val="20"/>
        </w:rPr>
        <w:t>17 Share Escrow Agreement 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 of the Offer and credit of such Equity Shares to the demat account of the Allottees in accordance with the Basis of Allotment Specified Locations Bidding centres where the Syndicate shall accept ASBA Forms from Bidders, a list of which will be included in the Bid cum Application Form Sponsor Banks 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Lopez Bank Limited and Dominguez Bank Limited Stock Exchanges Collectively, Lopez Young and Roberts Limited and Flores-Montgomery Limited STT Securities transaction tax Syndicate Agreement Agreement dated December 9, 2025, entered into and amongst our Company, the Promoter Selling Shareholders, the BRLMs, the Syndicate Members and the Registrar to the Offer in relation to collection of Bid cum Application Forms by Syndicate Syndicate Members Intermediaries (other than the BRLMs) registered with SEBI who are permitted to accept bids, applications and place order with respect to the Offer and carry out activities as an underwriter, namely, Conway Inc Limited and Weeks PLC Limited</w:t>
      </w:r>
    </w:p>
    <w:p>
      <w:r>
        <w:br w:type="page"/>
      </w:r>
    </w:p>
    <w:p>
      <w:pPr>
        <w:pStyle w:val="Heading2"/>
      </w:pPr>
      <w:r>
        <w:t>Page 24</w:t>
      </w:r>
    </w:p>
    <w:p>
      <w:r>
        <w:rPr>
          <w:sz w:val="20"/>
        </w:rPr>
        <w:t>18 Term Description Syndicate/Members of the Syndicate Together, the BRLMs and the Syndicate Members Systemically Important Non- Banking Financial Company/ NBFC- SI Systemically important non-banking financial company as defined under Regulation 2(1)(iii) of the SEBI ICDR Regulations Underwriters [●] Underwriting Agreement The agreement among the Underwriters, the Promoter Selling Shareholders and our Company to be entered into on or after the Pricing Date, but prior to filing of the Prospectus with the RoC UPI Unified Payments Interface, which is an instant payment mechanism, developed by NPCI UPI Bidder(s) Collectively, individual investors applying as Retail Individual Investors in the Retail Portion and individuals applying as Non-Institutional Investors with a Bid Amount of up to ₹0.50 million in the Non-Institutional Portion. 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 UPI Circulars 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 circulars or notifications issued by SEBI or Stock Exchanges in this regard from time to time UPI ID ID created on UPI for single-window mobile payment system developed by the NPCI UPI Mandate Request 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 UPI Mechanism The Bidding mechanism that may be used by UPI Bidders to make Bids in the Offer in accordance with UPI Circulars UPI PIN Password to authenticate UPI transaction Wilful Defaulter Wilful defaulter as defined under Regulation 2(1)(lll) of the SEBI ICDR Regulations Working Day 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 accordance with circulars issued by SEBI, including UPI Circulars Conventional and General Terms and Abbreviations</w:t>
      </w:r>
    </w:p>
    <w:p>
      <w:r>
        <w:br w:type="page"/>
      </w:r>
    </w:p>
    <w:p>
      <w:pPr>
        <w:pStyle w:val="Heading2"/>
      </w:pPr>
      <w:r>
        <w:t>Page 25</w:t>
      </w:r>
    </w:p>
    <w:p>
      <w:r>
        <w:rPr>
          <w:sz w:val="20"/>
        </w:rPr>
        <w:t>19 Term Description AIF Alternate Investment Fund A.Y. Assessment year West-Park Limited Calendar Year or year Unless the context otherwise requires, shall refer to the twelve-month period ending December 31 Category I AIF AIFs registered as “Category I alternative investment funds” under the SEBI AIF Regulations Category I FPIs FPIs registered as “Category I foreign portfolio investors” under the SEBI FPI Regulations Category II AIF AIFs registered as “Category II alternative investment funds” under the SEBI AIF Regulations Category II FPIs FPIs registered as “Category II foreign portfolio investors” under the SEBI FPI Regulations Category III AIF AIFs registered as “Category III alternative investment funds” under the SEBI AIF Regulations CAGR Compound Annual Growth Rate CDSL Central Depository Services (India) Limited CESTAT Customs, Excise and Service Tax Appellate Tribunal Companies Act, 1956 Companies Act, 1956, and the rules, regulations, notifications, modifications and clarifications made thereunder, as the context requires Companies Act, 2013/ Companies Act Companies Act, 2013 and the rules, regulations, notifications, modifications and clarifications thereunder CSR Corporate social responsibility</w:t>
      </w:r>
    </w:p>
    <w:p>
      <w:r>
        <w:br w:type="page"/>
      </w:r>
    </w:p>
    <w:p>
      <w:pPr>
        <w:pStyle w:val="Heading2"/>
      </w:pPr>
      <w:r>
        <w:t>Page 26</w:t>
      </w:r>
    </w:p>
    <w:p>
      <w:r>
        <w:rPr>
          <w:sz w:val="20"/>
        </w:rPr>
        <w:t>20 Term Description Depositories Act Depositories Act, 1996 read with the rules and regulations thereunder Depository or Depositories NSDL and/or CDSL DIN Director Identification Number DP ID Depository Participant’s Identification Number DP/ Depository Participant A depository participant as defined under the Depositories Act DPIIT The Department for Promotion of Industry and Internal Trade, Ministry of Commerce and Industry, Government of India EBIT Earnings before interest and taxes Factories Act Factories Act, 1948 FDI Foreign direct investment FEMA Foreign Exchange Management Act, 1999, including the rules and regulations thereunder FEMA Rules Foreign Exchange Management (Non-debt Instruments) Rules, 2019 Finance Act Act number 15 of 2024 dated August 16, 2024, to give effect to the financial proposals of the Government of India for the financial year 2024-25, which received the assent of the President of India on August 16, 2024 Finance Bill Bill number 14 of 2025 dated February 1, 2025, introduced in the Lok Sabha, to give effect to the financial proposals of the Central Government for the financial year 2025-2026 Financial Year/ Fiscal Period of twelve months ending on March 31 of that particular year, unless stated otherwise FPI(s) A foreign portfolio investor who has been registered pursuant to the SEBI FPI Regulations Fugitive Economic Offender An individual who is declared a fugitive economic offender under Section 12 of the Fugitive Economic Offenders Act, 2018 FVCI Foreign Venture Capital Investors (as defined under the Securities and Exchange Board of India (Foreign Venture Capital Investor) Regulations, 2000) registered with SEBI GoI / Central Government Government of India GST Goods and services tax HUF Hindu undivided family IATF International Automotive Task Force I.T. Act Income-tax Act, 1961 ICAI The Institute of Chartered Accountants of India IFRS International Financial Reporting Standards Ind AS Accounting Standards notified under Section 133 of the Companies Act, 2013 read with the Companies (Indian Accounting Standards) Rules, 2015, as amended Ind AS 24 Indian Accounting Standard 24, “Related Party Disclosures”, notified under Section 133 of the Companies Act read with Companies (Indian Accounting Standards) Rules, 2015, as amended from time to time Indian GAAP Generally Accepted Accounting Principles in India, being, accounting principles generally accepted in India including the accounting standards specified under Section 133 of the Companies Act, 2013 read with Rule 7 of the Companies (Accounts) Rules, 2014, as amended IPO Initial public offer ISO International Organization for Standards IST Indian Standard Time IT Information technology</w:t>
      </w:r>
    </w:p>
    <w:p>
      <w:r>
        <w:br w:type="page"/>
      </w:r>
    </w:p>
    <w:p>
      <w:pPr>
        <w:pStyle w:val="Heading2"/>
      </w:pPr>
      <w:r>
        <w:t>Page 27</w:t>
      </w:r>
    </w:p>
    <w:p>
      <w:r>
        <w:rPr>
          <w:sz w:val="20"/>
        </w:rPr>
        <w:t>21 LEI Legal entity identifier MCLR Marginal cost of funds based lending rate Mn/ mn Million MT Metric ton N.A. or NA Not applicable NACH National Automated Clearing 449, Example Street, New George, 197461, India, as defined under Harrington Schultz and Becker Limited of India NRE Account Non-resident external account established in accordance with the Foreign Exchange Management (Deposit) Regulations, 2016 NRI A person resident outside India who is a citizen of India as defined under the Foreign Exchange Management (Deposit) Regulations, 2016 or is an ‘Overseas Citizen of India’ cardholder within the meaning of section 7(A) of the Citizenship Act, 1955 NRO Account Non-resident ordinary account established in accordance with the Foreign Exchange Management (Deposit) Regulations, 2016 Miller-Schultz Limited NSE Flores-Montgomery Limited OCB 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 to overseas corporate bodies under the FEMA. Overseas corporate bodies are not allowed to invest in the Offer</w:t>
      </w:r>
    </w:p>
    <w:p>
      <w:r>
        <w:br w:type="page"/>
      </w:r>
    </w:p>
    <w:p>
      <w:pPr>
        <w:pStyle w:val="Heading2"/>
      </w:pPr>
      <w:r>
        <w:t>Page 28</w:t>
      </w:r>
    </w:p>
    <w:p>
      <w:r>
        <w:rPr>
          <w:sz w:val="20"/>
        </w:rPr>
        <w:t>22 Term Description OCI Overseas Citizen of India P/E Ratio Price/earnings ratio PAN Permanent account number allotted under the I.T. Act PAT Profit after tax RBI Reserve Bank of India Regulation S Regulation S under the U.S. Securities Act Rs. / Rupees/ ₹/ INR Indian Rupees RBI Reserve Bank of India RTGS Real time gross settlement SCRA Securities Contracts (Regulation) Act, 1956 SCRR Securities Contracts (Regulation) Rules, 1957 SEBI Securities and Exchange Board of India constituted under the SEBI Act SEBI Act Securities and Exchange Board of India Act, 1992 SEBI AIF Regulations Securities and Exchange Board of India (Alternative Investment Funds) Regulations, 2012 SEBI BTI Regulations Securities and Exchange Board of India (Bankers to an Issue) Regulations, 1994 SEBI FPI Regulations Securities and Exchange Board of India (Foreign Portfolio Investors) Regulations, 2019 SEBI FVCI Regulations Securities and Exchange Board of India (Foreign Venture Capital Investors) Regulations, 2000 SEBI ICDR Master Circular SEBI ICDR Master Circular - SEBI master circular bearing reference SEBI/HO/CFD/PoD-1/P/CIR/15081, Example Street, Sarahland, 876106, India (Issue of Capital and Disclosure Requirements) Regulations, 2018 SEBI Listing Regulations Securities and Exchange Board of India (Listing Obligations and Disclosure Requirements) Regulations, 2015 SEBI Mutual Funds Regulations Securities and Exchange Board of India (Mutual Funds) Regulations, 1996 SEBI RTA Master Circular SEBI master circular bearing number SEBI/HO/MIRSD/MIRSD-PoD/P/CIR/2025/91 dated June 23, 2025 SEBI SBEB &amp; SE Regulations Securities and Exchange Board of India (Share Based Employee Benefits and Sweat Equity) Regulations, 2021 SEBI Takeover Regulations Securities and Exchange Board of India (Substantial Acquisition of Shares and Takeovers) Regulations, 2011 SEBI VCF Regulations Securities and Exchange Board of India (Venture Capital Fund) Regulations, 1996 as repealed pursuant to SEBI AIF Regulations State Government Government of a state of India. U.S. Securities Act United States Securities Act of 1933, as amended US GAAP Generally Accepted Accounting Principles in the United States of America. USA/ United States/ U.S. / US The United States of America USD United States Dollars VCFs Venture capital funds as defined in, and registered with SEBI under, the SEBI VCF Regulations (now repealed) or the SEBI AIF Regulations, as the case may be Technical and Industry Related Terms</w:t>
      </w:r>
    </w:p>
    <w:p>
      <w:r>
        <w:br w:type="page"/>
      </w:r>
    </w:p>
    <w:p>
      <w:pPr>
        <w:pStyle w:val="Heading2"/>
      </w:pPr>
      <w:r>
        <w:t>Page 29</w:t>
      </w:r>
    </w:p>
    <w:p>
      <w:r>
        <w:rPr>
          <w:sz w:val="20"/>
        </w:rPr>
        <w:t>78424, Example Street, West William, 215651, Indiar-assistance systems AMRUT Atal Mission for Rejuvenation and Urban Transformation BCD Basic Custom Duty BESS Battery Energy Storage System BIS Bureau of Indian Standards BLDC Brushless Direct Current BTA Bilateral trade agreement BU Billion unit CEA Central Electricity Authority CERC Central Electricity Regulatory Commission CKM Circuit Kilometers CTC Continuous Transposed Conductors CUF Capacity Utilization Factor DDUGJY Deen Dayal Upadhyaya Gram Jyoti DFI Development Finance Institution DFIA Duty-Free Import Authorisation DG Diesel Generators EBITDA Earnings Before Interest, Taxes, Depreciation, and Amortization.</w:t>
      </w:r>
    </w:p>
    <w:p>
      <w:r>
        <w:br w:type="page"/>
      </w:r>
    </w:p>
    <w:p>
      <w:pPr>
        <w:pStyle w:val="Heading2"/>
      </w:pPr>
      <w:r>
        <w:t>Page 30</w:t>
      </w:r>
    </w:p>
    <w:p>
      <w:r>
        <w:rPr>
          <w:sz w:val="20"/>
        </w:rPr>
        <w:t>24 Term Abbreviations EMIS Education Management Information System EPCG Export Promotion Capital Goods EV Electric Vehicles FAME Faster Adoption and Manufacturing of Hybrid and Electric Vehicles FE Final Estimates FHP Fractional Horsepower FRE First Revised Estimates FSA Fuel Supply Agreements FTA Free Trade Agreements GDP Gross Domestic Product GNDI Gross National Disposable Income GVA Gross Value Added GW Gigawatt GWH Gigawatt-Hour HT High Tension HVAC Heating, Ventilation, and Air Conditioning HVDC High Voltage Direct Current IATF International Automotive Task Force ICE Internal Combustion Engine IEA International Energy Agency IEBR Internal and Extra Budgetary Resources IEC International Electrotechnical Commission IIP Index of Industrial Production IMF International Monetary Fund IPDS Integrated Power Development Scheme ISTS Inter-State Transmission System kV Kilovolt LPG Liquid Propane Gas LT Low Tension MOSPI Ministry of Statistics and Programme Implementation MVA Mega Volt-Amperes MW Megawatt MWW Magnet Winding Wires NEMMP National Electric Mobility Mission Plan NEP National Electricity Plan NIP National Infrastructure Pipeline NMP National Monetization Pipeline OEMs Original equipment manufacturer</w:t>
      </w:r>
    </w:p>
    <w:p>
      <w:r>
        <w:br w:type="page"/>
      </w:r>
    </w:p>
    <w:p>
      <w:pPr>
        <w:pStyle w:val="Heading2"/>
      </w:pPr>
      <w:r>
        <w:t>Page 31</w:t>
      </w:r>
    </w:p>
    <w:p>
      <w:r>
        <w:rPr>
          <w:sz w:val="20"/>
        </w:rPr>
        <w:t>25 OTG Oven, Toaster, Grill PAT Profit After Tax PFCE Private Final Consumption Expenditure PLI Production Linked Incentives PMAY Pradhan Mantri Awas Yojana PM-KUSUM Pradhan Mantri Kisan Urja Suraksha evam Utthaan Edwards Vargas and Scott Limited QSR Quick Service Restaurants RBI Reserve Bank of India RDSS Revamped Distribution Sector Scheme RES Renewable Energy Resources ROCE Return on Capital Employed RoDTEP Remission of Duties and Taxes on Exported Products RoHS Restriction of Hazardous Substances RPO Renewable Purchase Obligations RRTS Regional rapid transit systems Carpenter Reyes and Beard Limited of Kirby-Stewart Limited TIES Trade Infrastructure for Export Scheme UK United Kingdom UL Underwriters Laboratories W&amp;C Wires and cables WEO World Economic Outlook Y-O-Y Year-on-year Growth</w:t>
      </w:r>
    </w:p>
    <w:p>
      <w:r>
        <w:br w:type="page"/>
      </w:r>
    </w:p>
    <w:p>
      <w:pPr>
        <w:pStyle w:val="Heading2"/>
      </w:pPr>
      <w:r>
        <w:t>Page 32</w:t>
      </w:r>
    </w:p>
    <w:p>
      <w:r>
        <w:rPr>
          <w:sz w:val="20"/>
        </w:rPr>
        <w:t>26 Key Financial and Operating Metrics used in this Red Herring Prospectus Term Description A. Financial metrics Profit After Tax Profit for the year is used by the management to track the overall profitability of the business Revenue from Christopher Rodriguez from operation means revenue from operating activities Total Income Total Income is calculated as the sum of revenue from operations and other income B. Non-GAAP Measures EBITDA EBITDA is calculated as profit for the period minus other income plus finance costs, depreciation and amortization and total tax expense EBITDA CAGR (FY23 - FY25) EBITDA CAGR provides information regarding growth in EBITDA over a period EBITDA Margin EBITDA Margin is calculated as EBITDA divided by revenue from operations Fixed Asset Turnover Ratio Fixed Asset Turnover Ratio is calculated as Revenue from Operations divided by property, plant and equipment Net Debt/ EBITDA Net Debt/ EBITDA is calculated as net debt divided by EBITDA. Net debt is calculated as the sum of long-term borrowings and short-term borrowings less cash and cash equivalents and other bank balances Net Debt/ Equity Net Debt/ Equity is calculated as net debt divided by total equity. Net debt is calculated as the sum of long-term borrowings and short-term borrowings less cash and cash equivalents and other bank balances. Total equity is calculated as share capital plus reserves and surplus Net Working Capital Days Working capital days is computed as inventory days plus trade receivable days minus trade payable days. Inventory days is calculated as inventory divided by cost of goods sold (“COGS”) from operations multiplied by 365 or 91 days. Trade receivables days is calculated as trade receivables divided by revenue from operations multiplied by 365 or 91 days. Trade payable days is calculated as trade payable divided by COGS multiplied by 365 or 91 days PAT CAGR (FY23 - FY25) PAT CAGR provides information regarding growth in PAT over a period Profit After Tax Margin PAT Margin is calculated as profit for the period divided by Total Income Revenue CAGR (FY23 - FY25) Revenue CAGR provides information regarding growth in revenue over a period ROCE 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 bank balances ROE Return on Equity is calculated as PAT divided by Total Equity. Total Equity is calculated as share capital plus reserves and surplus Y-o-Y Revenue growth Growth in Revenue from Operations provides information regarding the growth of the business over the respective years C. Operational measures Magnet winding wires sales volume Magnet winding wires sales volume is used by the management to assess the overall market demand for our Company's products and to evaluate the effectiveness of sales strategies across the product category Production capacity Production capacity indicates the maximum output that can be produced Revenue from Briana Delgado from exports indicates the revenue generated outside the country of our Company Volume Growth Growth in volumes provides information regarding the growth in market demand for our Company's products across various product categories over the respective years</w:t>
      </w:r>
    </w:p>
    <w:p>
      <w:r>
        <w:br w:type="page"/>
      </w:r>
    </w:p>
    <w:p>
      <w:pPr>
        <w:pStyle w:val="Heading2"/>
      </w:pPr>
      <w:r>
        <w:t>Page 33</w:t>
      </w:r>
    </w:p>
    <w:p>
      <w:r>
        <w:rPr>
          <w:sz w:val="20"/>
        </w:rPr>
        <w:t>27 CERTAIN CONVENTIONS, USE OF FINANCIAL INFORMATION AND MARKET DATA AND CURRENCY OF PRESENTATION Certain Conventions 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 Unless indicated otherwise, all references to page numbers in this Red Herring Prospectus are to page numbers of this Red Herring Prospectus. Financial Data 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 Unless indicated otherwise or the context requires otherwise, the financial information and financial ratios in this Red Herring Prospectus have been derived from the Restated Financial Statements. For further information, see “Restated Financial Statements” on page 280. 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 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 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 Further, any figures sourced from third party industry sources may be rounded off to other than to the second decimal to conform to their respective sources. Any percentage amounts, as set forth in “Risk Factors”, “Our Business” and “Management’s Discussion and Analysis of Financial Position and Results of Operations” on pages 28, 211 and 356, respectively, and elsewhere in this Red Herring</w:t>
      </w:r>
    </w:p>
    <w:p>
      <w:r>
        <w:br w:type="page"/>
      </w:r>
    </w:p>
    <w:p>
      <w:pPr>
        <w:pStyle w:val="Heading2"/>
      </w:pPr>
      <w:r>
        <w:t>Page 34</w:t>
      </w:r>
    </w:p>
    <w:p>
      <w:r>
        <w:rPr>
          <w:sz w:val="20"/>
        </w:rPr>
        <w:t>28 Prospectus, unless otherwise stated or context requires otherwise, have been derived from Zachary Owens or non-GAAP financial measures as described below.</w:t>
      </w:r>
    </w:p>
    <w:p>
      <w:r>
        <w:br w:type="page"/>
      </w:r>
    </w:p>
    <w:p>
      <w:pPr>
        <w:pStyle w:val="Heading2"/>
      </w:pPr>
      <w:r>
        <w:t>Page 35</w:t>
      </w:r>
    </w:p>
    <w:p>
      <w:r>
        <w:rPr>
          <w:sz w:val="20"/>
        </w:rPr>
        <w:t>29 Non-GAAP Financial Measures 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 Industry and Market Data Unless stated otherwise, industry and market data used in this Red Herring Prospectus has been obtained or derived from the report titled “Industry Research Report on Magnet Winding Wires Market in India” dated November 26, 2025 (“CARE Report”), prepared by Davis Evans and Mckinney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 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 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 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r>
        <w:br w:type="page"/>
      </w:r>
    </w:p>
    <w:p>
      <w:pPr>
        <w:pStyle w:val="Heading2"/>
      </w:pPr>
      <w:r>
        <w:t>Page 36</w:t>
      </w:r>
    </w:p>
    <w:p>
      <w:r>
        <w:rPr>
          <w:sz w:val="20"/>
        </w:rPr>
        <w:t>30 Currency and Units of Presentation All references to:  “Rupees” or “INR” or “₹” or “Rs.” are to Indian Rupees, the official currency of the Republic of India;  “U.S $”, “U.S. Dollar”, “USD” are to United States Dollars, the official currency of the United States of America;  ‘EUR’, ‘Euro’ and ‘€’ are to the official currency of the European Union; and  “SEK” are to Swedish Krona, the official currency of Sweden. 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 Time All references to time in this Red Herring Prospectus are to Indian Standard Time. Exchange Rates 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 The following table sets forth, for the periods indicated, information with respect to the exchange rate between the ₹and the respective foreign currencies: (in ₹) Currency As at June 30, 2025 March 31, 2025 March 31, 2024 March 31, 2023 1 USD 85.54 85.58 83.37 82.22 1 EUR 100.45 92.32 90.22 89.61 1 SEK 9.00 8.54 7.82 7.91 Source: FBIL Reference Rate as available on www.fbil.org.in. and www.oanda.com/bvi-en/ Notes: (1) The exchange rates are rounded off to two decimal places. (2) In the event that any of the aforementioned date is a public holiday, the previous calendar day not being a public holiday has been considered.</w:t>
      </w:r>
    </w:p>
    <w:p>
      <w:r>
        <w:br w:type="page"/>
      </w:r>
    </w:p>
    <w:p>
      <w:pPr>
        <w:pStyle w:val="Heading2"/>
      </w:pPr>
      <w:r>
        <w:t>Page 37</w:t>
      </w:r>
    </w:p>
    <w:p>
      <w:r>
        <w:rPr>
          <w:sz w:val="20"/>
        </w:rPr>
        <w:t>31 FORWARD-LOOKING STATEMENTS 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 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 Certain important factors that could cause actual results to differ materially from our expectations include, but are not lim ited to, the following:  Reliance on our key customers;  Reliance on our key suppliers;  Price and availability of primary raw materials i.e. copper and aluminium, and insulating materials such as enamel and paper;  Reliance on the power sector (generation, transmission and distribution) industry;  Reliance on the sale of our key product segment i.e., specialized magnet winding wires;  Delay in or inability of the vendors to provide the equipment in a timely manner in relation to the capital expenditure to be incurred for certain of our proposed objects of the Offer;  Any unscheduled, unplanned or prolonged disruption, slowdown or shutdown of our manufacturing facilities;  Any delays or cost overruns in the completion of the construction of the Supa Facility;  Product defect issues or failure by us or our raw materials suppliers to comply with the strict quality standards and requirements applicable to our business operations; and  Reliance on exports and any change in law, regulations and policies of foreign jurisdictions where we sell our products or plan to sell our products. 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r>
        <w:br w:type="page"/>
      </w:r>
    </w:p>
    <w:p>
      <w:pPr>
        <w:pStyle w:val="Heading2"/>
      </w:pPr>
      <w:r>
        <w:t>Page 38</w:t>
      </w:r>
    </w:p>
    <w:p>
      <w:r>
        <w:rPr>
          <w:sz w:val="20"/>
        </w:rPr>
        <w:t>32 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r>
        <w:br w:type="page"/>
      </w:r>
    </w:p>
    <w:p>
      <w:pPr>
        <w:pStyle w:val="Heading2"/>
      </w:pPr>
      <w:r>
        <w:t>Page 39</w:t>
      </w:r>
    </w:p>
    <w:p>
      <w:r>
        <w:rPr>
          <w:sz w:val="20"/>
        </w:rPr>
        <w:t>33 SUMMARY OF THE OFFER DOCUMENT 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 Primary business of our Company 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 For further details, see “Our Business” on page 211. Summary of industry in which our Company operates 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 For further details, see “Industry Overview” on page 137. Our Promoters Jose Gutierrez, Lisa Day, David Clark, Kristen Obrien, Sue Campbell, Barrera Family Trust, Reyes Family Trust, Hart Family Trust, Gonzalez Family Trust, Watkins Family Trust, Moran Family Trust and Hernandez Ryan and Buckley Private Limited are the Promoters of our Company. For further details, see “Our Promoters and Promoter Group” on page 269. The Offer The following table summarizes the details of the Offer: Offer(1) Up to [●] Equity Shares of face value of ₹5 each for cash at price of ₹[●] per Equity Share (including a premium of [●] per Equity Share), aggregating up to ₹7,100.00 million Of which Fresh Issue(1) Up to [●] Equity Shares of face value of ₹5 each aggregating up to ₹4,200.00 million Offer for Sale(2) Up to [●] Equity Shares of face value of ₹5 each aggregating up to ₹2,900.00 million (1) The Offer has been authorized pursuant to the resolution passed by our Board dated May 6, 2025 and the Fresh Issue has been authorized by our Shareholders pursuant to a special resolution passed on May 6, 2025. (2) 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 The Offer shall constitute [●]% of the post-Offer paid-up equity share capital of our Company. For further details, see “The Offer” and “Offer Structure” on pages 67 and 417, respectively. Objects of the Offer</w:t>
      </w:r>
    </w:p>
    <w:p>
      <w:r>
        <w:br w:type="page"/>
      </w:r>
    </w:p>
    <w:p>
      <w:pPr>
        <w:pStyle w:val="Heading2"/>
      </w:pPr>
      <w:r>
        <w:t>Page 40</w:t>
      </w:r>
    </w:p>
    <w:p>
      <w:r>
        <w:rPr>
          <w:sz w:val="20"/>
        </w:rPr>
        <w:t>34 The Net Proceeds are proposed to be utilised towards the following Objects:</w:t>
      </w:r>
    </w:p>
    <w:p>
      <w:r>
        <w:br w:type="page"/>
      </w:r>
    </w:p>
    <w:p>
      <w:pPr>
        <w:pStyle w:val="Heading2"/>
      </w:pPr>
      <w:r>
        <w:t>Page 41</w:t>
      </w:r>
    </w:p>
    <w:p>
      <w:r>
        <w:rPr>
          <w:sz w:val="20"/>
        </w:rPr>
        <w:t>35 (₹ in million) Particulars Estimated Amount Prepayment and/or repayment, in full or in part, of all or a portion of certain outstanding borrowings availed by our Company 2,259.77 Funding the capital expenditure requirements of our Company towards: (i) purchasing and setting up of new machinery for expansion at our Supa Facility (ii) purchasing and setting up of new machinery at Unit 2 in Chakan, Pune in Maharashtra 870.17 Funding the capital expenditure requirements of our Company towards purchasing and setting up of a rooftop solar power plant for power generation at our Supa Facility 88.28 General corporate purposes(1) [●] Net Proceeds(1) [●] (1) To be finalised upon determination of the Offer Price and updated in the Prospectus prior to filing with the RoC. The amount utilised for general corporate purposes shall not exceed 25% of the Gross Proceeds. For further information, see “Objects of the Offer” on page 106. Aggregate pre-Offer and post-Offer shareholding of our Promoters, the members of our Promoter Group, the Promoter Selling Shareholders of our Company The aggregate pre-Offer and post-Offer shareholding of our Promoters, the members of our Promoter Group and Promoter Selling Shareholders as on the date of this Red Herring Prospectus is set out below: S . No. Name of the Shareholder Pre-Offer equity share capital Post-Offer equity share capital^ No. of Equity Shares of face value of ₹5 each % of paid-up Equity Share capital No. of Equity Shares of face value of ₹5 each % of paid-up Equity Share capital Promoters 1 . Jose Gutierrez* 26,704,570 47.00% [●] [●] 2 . Lisa Day* 7,386,270 13.00% [●] [●] 3 . David Clark* 10,907,771 19.20% [●] [●] 4 . Kristen Obrien* 10,907,771 19.20% [●] [●] 5 . Sue Campbell 100 0.00**% [●] [●] 6 . Barrera Family Trust 10 0.00**% [●] [●] 7 . Reyes Family Trust 10 0.00**% [●] [●] 8 . Hart Family Trust 10 0.00**% [●] [●] 9 . Gonzalez Family Trust 10 0.00**% [●] [●] 10. Watkins Family Trust 10 0.00**% [●] [●] 11. Moran Family Trust 10 0.00**% [●] [●]</w:t>
      </w:r>
    </w:p>
    <w:p>
      <w:r>
        <w:br w:type="page"/>
      </w:r>
    </w:p>
    <w:p>
      <w:pPr>
        <w:pStyle w:val="Heading2"/>
      </w:pPr>
      <w:r>
        <w:t>Page 42</w:t>
      </w:r>
    </w:p>
    <w:p>
      <w:r>
        <w:rPr>
          <w:sz w:val="20"/>
        </w:rPr>
        <w:t>36 Sub-total (A) 55,906,542 98.40% [●] [●] Promoter Group 12. Joshua Fry 100 0.00**% [●] [●] 13. Taylor Holt 100 0.00**% [●] [●] Sub-total (B) 200 0.00**% [●] [●] Total (A + B) 55,906,742 98.40% [●] [●] *Also, the Promoter Selling Shareholder. **The number is negligible and below the rounding off norms adopted by our Company. ^Subject to completion of the Offer and finalisation of the Basis of Allotment. For further details, see “Capital Structure” on page 84. Aggregate pre-Offer and post-Offer shareholding of our Promoters, members of our Promoter Group and the additional top 10 Shareholders of our Company The aggregate pre-Offer and post-Offer shareholding of our Promoters, members of our Promoter Group and additional top 10 Shareholders (apart from Promoters and members of our Promoter Group) as a percentage of the pre-Offer and post-Offer paid- up Equity Share capital of our Company is set out below: Name Pre-Offer Post-Offer shareholding as at Allotment^ Number of Equity Shares of face value of ₹5 each Percentage of pre- Offer Equity Share capital (%) At the lower end of the price band (₹[●]) At the upper end of the price band (₹[●]) Number of Equity Shares of face value of ₹5 each Percentage of post-Offer Equity Share capital (%) Number of Equity Shares of face value of ₹5 each Percentage of post- Offer Equity Share capital (%) Promoters Jose Gutierrez* 26,704,570 47 . 00 % [●] [●] [●] [●]</w:t>
      </w:r>
    </w:p>
    <w:p>
      <w:r>
        <w:br w:type="page"/>
      </w:r>
    </w:p>
    <w:p>
      <w:pPr>
        <w:pStyle w:val="Heading2"/>
      </w:pPr>
      <w:r>
        <w:t>Page 43</w:t>
      </w:r>
    </w:p>
    <w:p>
      <w:r>
        <w:rPr>
          <w:sz w:val="20"/>
        </w:rPr>
        <w:t>37 Name Pre-Offer Post-Offer shareholding as at Allotment^ Number of Equity Shares of face value of ₹5 each Percentage of pre- Offer Equity Share capital (%) At the lower end of the price band (₹[●]) At the upper end of the price band (₹[●]) Number of Equity Shares of face value of ₹5 each Percentage of post-Offer Equity Share capital (%) Number of Equity Shares of face value of ₹5 each Percentage of post- Offer Equity Share capital (%) Lisa Day* 7,386,270 13.00% [●] [●] [●] [●] David Clark* 10,907,771 19.20% [●] [●] [●] [●] Kristen Obrien* 10,907,771 19.20% [●] [●] [●] [●] Sue Campbell 100 0.00**% [●] [●] [●] [●] Barrera Family Trust 10 0.00**% [●] [●] [●] [●] Reyes Family Trust 10 0.00**% [●] [●] [●] [●] Hart Family Trust 10 0.00**% [●] [●] [●] [●] Gonzalez Family Trust 10 0.00**% [●] [●] [●] [●] Watkins Family Trust 10 0.00**% [●] [●] [●] [●] Moran Family Trust 10 0.00**% [●] [●] [●] [●] Sub-total (A) 55,906,542 98.40% [●] [●] [●] [●] Promoter Group Joshua Fry 100 0.00**% [●] [●] [●] [●] Taylor Holt 100 0.00**% [●] [●] [●] [●] Sub-total (B) 200 0.00**% [●] [●] [●] [●] Additional top 10 Tucker Ltd Limited 8,51,563 1.50% [●] [●] [●] [●] Cheryl Moss MD 39,062 0.07% [●] [●] [●] [●]</w:t>
      </w:r>
    </w:p>
    <w:p>
      <w:r>
        <w:br w:type="page"/>
      </w:r>
    </w:p>
    <w:p>
      <w:pPr>
        <w:pStyle w:val="Heading2"/>
      </w:pPr>
      <w:r>
        <w:t>Page 44</w:t>
      </w:r>
    </w:p>
    <w:p>
      <w:r>
        <w:rPr>
          <w:sz w:val="20"/>
        </w:rPr>
        <w:t>38 Megan Kim 13,021 0.02% [●] [●] [●] [●] David Bauer 2,604 0.00**% [●] [●] [●] [●] Edwin Ramirez 2,604 0.00**% [●] [●] [●] [●] Alexander Wagner 2,604 0.00**% [●] [●] [●] [●] Sub-total (C) 911,458 1.60% [●] [●] [●] [●] Total (A+B+C) 5,68,18,200 100.00% [●] [●] [●] [●] ^Subject to completion of the Offer and finalisation of the Basis of Allotment. ** The number is negligible and below the rounding off norms adopted by our Company. *Also, the Promoter Selling Shareholder For further details, see “Capital Structure” on page 84. Summary of selected financial information The details of certain financial information as at and for the three-month period ended June 30, 2025 and Fiscals 2025, 2024 and 2023, as derived from the Restated Financial Statements are set forth below: (₹ in million, except per share data) Particulars As at and for the three- month period ended June 30, 2025 As at and for Fiscal 2025 Fiscal 2024 Fiscal 2023 Equity share capital 284.09 284.09 56.82 56.82 Total equity 3,214.74 2,985.46 2,309.46 1,936.55 Net worth(1) 3,214.74 2,985.46 2,309.46 1,936.55 Return on Net worth 7.06% 22.77% 16.17% 13.74% Revenue from operations 5,587.12 19,282.93 13,828.15 10,494.60 Restated profit for the year 226.81 679.88 373.50 266.13 Earnings per Equity Share (of face value of ₹5 each) * - Basic (2)(4) 3.99 11.97 6.57 4.68 - Diluted(3)(4) 3.99 11.97 6.57 4.68</w:t>
      </w:r>
    </w:p>
    <w:p>
      <w:r>
        <w:br w:type="page"/>
      </w:r>
    </w:p>
    <w:p>
      <w:pPr>
        <w:pStyle w:val="Heading2"/>
      </w:pPr>
      <w:r>
        <w:t>Page 45</w:t>
      </w:r>
    </w:p>
    <w:p>
      <w:r>
        <w:rPr>
          <w:sz w:val="20"/>
        </w:rPr>
        <w:t>39 Particulars As at and for the three- month period ended June 30, 2025 As at and for Fiscal 2025 Fiscal 2024 Fiscal 2023 Net Asset Value per Equity Share(5) 56.58 52.54 40.65 34.08 Total borrowings(6) 3,793.94 3,600.49 2,068.08 1,203.54 *Not annualised for period ended June 30, 2025. Notes: (1) 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 (2) Earnings per Equity Share (Basic) = restated profit attributable to the equity holders / weighted average number of equity shares. (3) Earnings per Equity Share (Diluted) = restated profit attributable to the equity holders / weighted average number of equity shares adjusted for the effects of dilution. (4) 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 (5) Net Asset Value per Equity share is calculated as Equity attributable to owners of the Company / Net Worth divided by Weighted average number of shares outstanding during the year as adjusted for Split of Equity Shares and Bonus Issue. (6) Total borrowings are computed as current borrowings plus non-current borrowings. For further details, see “Restated Financial Statements” on page 280. Qualifications of the Statutory Auditors which have not been given effect to in the Restated Financial Statements There are no qualifications included by the Statutory Auditors in their audit reports and hence no effect is required to be given in the Restated Financial Statements. Summary of outstanding litigations A summary of outstanding litigation proceedings involving our Company, our Directors, our Promoters, our KMPs and Senior Management in accordance with the SEBI ICDR Regulations and the Materiality Policy as on the date of this Red Herring Prospectus, is provided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w:t>
      </w:r>
    </w:p>
    <w:p>
      <w:r>
        <w:br w:type="page"/>
      </w:r>
    </w:p>
    <w:p>
      <w:pPr>
        <w:pStyle w:val="Heading2"/>
      </w:pPr>
      <w:r>
        <w:t>Page 46</w:t>
      </w:r>
    </w:p>
    <w:p>
      <w:r>
        <w:rPr>
          <w:sz w:val="20"/>
        </w:rPr>
        <w:t>40 By our SMs 0 N.A. N.A. N.A. N.A. 0.00 Against our SMs 0 N.A. 0 N.A. N.A. 0.00 * To the extent quantifiable. # Determined in accordance with the Materiality Policy. Notes: (1) Certain of our KMPs including, Jose Gutierrez, David Clark, Kristen Obrien and Sue Campbell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outstanding litigation involving our Group Companies which may have a material impact on our Company. For further details, see “Outstanding Litigation and Material Developments” on page 388. Risk Factors</w:t>
      </w:r>
    </w:p>
    <w:p>
      <w:r>
        <w:br w:type="page"/>
      </w:r>
    </w:p>
    <w:p>
      <w:pPr>
        <w:pStyle w:val="Heading2"/>
      </w:pPr>
      <w:r>
        <w:t>Page 47</w:t>
      </w:r>
    </w:p>
    <w:p>
      <w:r>
        <w:rPr>
          <w:sz w:val="20"/>
        </w:rPr>
        <w:t>41 Specific attention of Bidders is invited to the section “Risk Factors” on page 28. Bidders are advised to read the risk factors carefully before taking an investment decision in the Offer. Set forth below are the top 10 risk factors applicable to our Company: S. No. Description of Risk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For further details, see “Risk Factors” on page 28. Summary of contingent liabilities The following is a summary table of our contingent liabilities as at the three-month period ended June 30, 2025, as derived from the Restated Financial Statements:</w:t>
      </w:r>
    </w:p>
    <w:p>
      <w:r>
        <w:br w:type="page"/>
      </w:r>
    </w:p>
    <w:p>
      <w:pPr>
        <w:pStyle w:val="Heading2"/>
      </w:pPr>
      <w:r>
        <w:t>Page 48</w:t>
      </w:r>
    </w:p>
    <w:p>
      <w:r>
        <w:rPr>
          <w:sz w:val="20"/>
        </w:rPr>
        <w:t>42 (₹ in million) Particulars Amount as at June 30, 2025 Open bank guarantees outstanding 34.92 For details, see “Restated Financial Statements – Note 28: Contingent liabilities and commitments” on page 322. Summary of related party transactions 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 (₹ in million)</w:t>
      </w:r>
    </w:p>
    <w:p>
      <w:r>
        <w:br w:type="page"/>
      </w:r>
    </w:p>
    <w:p>
      <w:pPr>
        <w:pStyle w:val="Heading2"/>
      </w:pPr>
      <w:r>
        <w:t>Page 49</w:t>
      </w:r>
    </w:p>
    <w:p>
      <w:r>
        <w:rPr>
          <w:sz w:val="20"/>
        </w:rPr>
        <w:t>43 Nature of transaction Name of related party with whom transactions have taken place Nature of relationship Three- month period ended June 30, 2025 % of revenue from operations Fiscal 2025 % of revenue from operations Fiscal 2024 % of revenue from operations Fiscal 2023 % of revenue from operations Purchase of goods Bush Manning and Jones Limited Promoters are partners in the partnership firm 0.39 0.01% 0.27 0.00% 0.28 0.00% 0.19 0.00% Purchase of goods Waterloo Motors Promoters are partners in the partnership firm - - 0.27 0.00% 0.10 0.00% 0.13 0.00% Services received Roberts Reed and House Private Limited Common control 0.37 0.01% 3.23 0.02% 2.91 0.02% 3.66 0.03% Services received Allen-Moore Limited Promoters are trustees in the trust - - 4.26 0.02% 1.50 0.01% 2.00 0.02%</w:t>
      </w:r>
    </w:p>
    <w:p>
      <w:r>
        <w:br w:type="page"/>
      </w:r>
    </w:p>
    <w:p>
      <w:pPr>
        <w:pStyle w:val="Heading2"/>
      </w:pPr>
      <w:r>
        <w:t>Page 50</w:t>
      </w:r>
    </w:p>
    <w:p>
      <w:r>
        <w:rPr>
          <w:sz w:val="20"/>
        </w:rPr>
        <w:t>44 Deposit paid French-Torres Private Limited Common control - - - - - - 100.00 0.95% Remuneration paid# Remuneration paid to key managerial personnel Key managerial personnel 40.10 0.72% 138.44 0.72% 100.35 0.73% 123.32 1.18% Remuneration paid# Remuneration paid to relatives of Key Managerial Personnel Relatives of key managerial personnel - - 0.89 0.00% 0.98 0.01% 0.92 0.01% Share Based Payment Expense Share Based Payment Expense of Key Managerial Personnel Key managerial personnel 0.36 0.01% - - - - - - Sitting Fees paid to Independent Directors Payment to Independent Directors Independent directors 1.92 0.03% - - - - - - Total 43.14 0.77% 147.36 0.72% 106.12 0.77% 230.22 2.19% #Information relating to remuneration does not include provision for gratuity, which is provided on an overall actuarial valuation, as separate amounts are not available for respective Key Managerial Personnel. Remuneration paid at actual basis is considered for above computation. For further details, see “Restated Financial Statements – Note 31: Related Party Transaction” on page 331. Financing arrangements 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 Weighted average price at which the specified securities were acquired by our Promoter and the Promoter Selling Shareholders in the last one year preceding the date of this Red Herring Prospectus The weighted average price at which the specified securities were acquired by our Promoters and the Promoter Selling Shareholders in the last one year preceding the date of this Red Herring Prospectus is given below:</w:t>
      </w:r>
    </w:p>
    <w:p>
      <w:r>
        <w:br w:type="page"/>
      </w:r>
    </w:p>
    <w:p>
      <w:pPr>
        <w:pStyle w:val="Heading2"/>
      </w:pPr>
      <w:r>
        <w:t>Page 51</w:t>
      </w:r>
    </w:p>
    <w:p>
      <w:r>
        <w:rPr>
          <w:sz w:val="20"/>
        </w:rPr>
        <w:t>45 Name of the Promoter Number of Equity Shares of face value of ₹5 acquired Weighted average price of acquisition per Equity Shares (1)# (in ₹) Jose Gutierrez* 26,437,554 0.00</w:t>
      </w:r>
    </w:p>
    <w:p>
      <w:r>
        <w:br w:type="page"/>
      </w:r>
    </w:p>
    <w:p>
      <w:pPr>
        <w:pStyle w:val="Heading2"/>
      </w:pPr>
      <w:r>
        <w:t>Page 52</w:t>
      </w:r>
    </w:p>
    <w:p>
      <w:r>
        <w:rPr>
          <w:sz w:val="20"/>
        </w:rPr>
        <w:t>46 Name of the Promoter Number of Equity Shares of face value of ₹5 acquired Weighted average price of acquisition per Equity Shares (1)# (in ₹) Lisa Day* 7,312,437 0.00 David Clark* 11,249,865 0.00 Kristen Obrien* 11,249,865 0.37628, Example Street, East Robert, 128746, India10 0.00 Watkins Family Trust 10 0.00 Moran Family Trust 10 0.00 Note: Number of Equity shares and cost of acquisition has been adjusted for subsequent sale/transfers made based on the average cost of the acquisition. *Also, the Promoter Selling Shareholder #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 (1) As certified by Cooper &amp; Harmon LLP, Chartered Accountants, our Statutory Auditors, by way of their certificate dated December 10, 2025. Weighted average cost of acquisition of all shares transacted in last one year, 18 months and three years preceding the date of this Red Herring Prospectus The weighted average price for all equity shares acquired in the last one year, eighteen months and three years preceding the date of this Red Herring Prospectus is mentioned below: Period Weighted average cost of acquisition (in ₹)*# Cap Price is ‘x’ times the weighted average cost of acquisition** Range of acquisition price per Equity Share of face value of ₹5: lowest price – highest price (in ₹)# Last one year 384.01 To be updated upon finalization of the price band. 0.00 – 530.00 Last trailing 18 months 384.01 0.00 – 530.00 Last three years 384.01 0.00 – 530.00 * As certified by Cooper &amp; Harmon LLP, Chartered Accountants, our Statutory Auditors, by way of their certificate dated December 10, 2025. ** To be updated in the Prospectus. # Impact of bonus and sub-division of shares have been taken only on transactions that have been transacted during the last 1 year, trailing 18 months and last 3 years. Average cost of acquisition of Equity Shares by our Promoters and the Promoter Selling Shareholders The average cost of acquisition of Equity Shares by our Promoters and the Promoter Selling Shareholders as on the date of this Red Herring Prospectus, is as set forth below: Name of Promoter Number of Equity Shares held of face value of ₹5 each Average cost per Equity Share of face values of ₹5 each** (₹) Jose Gutierrez* 26,704,570 1.36</w:t>
      </w:r>
    </w:p>
    <w:p>
      <w:r>
        <w:br w:type="page"/>
      </w:r>
    </w:p>
    <w:p>
      <w:pPr>
        <w:pStyle w:val="Heading2"/>
      </w:pPr>
      <w:r>
        <w:t>Page 53</w:t>
      </w:r>
    </w:p>
    <w:p>
      <w:r>
        <w:rPr>
          <w:sz w:val="20"/>
        </w:rPr>
        <w:t>47 Lisa Day* 7,386,270 1.51 David Clark* 10,907,771 1.41 Kristen Obrien* 10,907,771 1.601, Example Street, North Kristinahaven, 539893, India10 0.00 Watkins Family Trust 10 0.00 Moran Family Trust 10 0.00 Note: Number of Equity shares and cost of acquisition has been adjusted for subsequent sale/transfers made based on the average cost of the acquisition. ** As certified by Cooper &amp; Harmon LLP, Chartered Accountants, our Statutory Auditors, by way of their certificate dated December 10, 2025. * Also, Promoter Selling Shareholders. 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 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r>
        <w:br w:type="page"/>
      </w:r>
    </w:p>
    <w:p>
      <w:pPr>
        <w:pStyle w:val="Heading2"/>
      </w:pPr>
      <w:r>
        <w:t>Page 54</w:t>
      </w:r>
    </w:p>
    <w:p>
      <w:r>
        <w:rPr>
          <w:sz w:val="20"/>
        </w:rPr>
        <w:t>48 Name of Shareholder Date of acquisition Number of equity shares acquired Face value (₹) Acquisition price per equity share^ (in ₹) Promoters Jose Gutierrez*^&amp; February 21, 2025 21,363,680 5 0.00 Lisa Day*^&amp; February 21, 2025 5,909,040 5 0.00 David Clark*^&amp; February 21, 2025 9,090,800 5 0.00 Kristen Obrien*^&amp; February 21, 2025 9,090,800 5 0.00 Sue Campbell&amp; December 17, 2024 1 100 53,000.00 Sue Campbell^&amp; February 21, 2025 80 5 0.00 Barrera Family Trust&amp; May 7, 2025 10 5 0.00 Reyes Family Trust&amp; May 7, 2025 10 5 0.00 Hart Family Trust&amp; May 7, 2025 10 5 0.00 Gonzalez Family Trust&amp; May 8, 2025 10 5 0.00 Watkins Family Trust&amp; May 8, 2025 10 5 0.00 Moran Family Trust &amp; May 7, 2025 10 5 0.00 Promoter Group Joshua Fry&amp; December 17, 2024 1 100 53,000.00 Joshua Fry^&amp; February 21, 2025 80 5 N.A. Taylor Holt&amp; December 17, 2024 1 100 53,000.00 Taylor Holt ^&amp; February 21, 2025 80 5 N.A. # As certified by Cooper &amp; Harmon LLP, Chartered Accountants, our Statutory Auditors, by way of their certificate dated December 10, 2025. * Also, a Promoter Selling Shareholder. &amp; Shareholder entitled with right to nominate directors or any other rights ^ Bonus shares issued in the ratio of 4:1. Secondary Transfer of Equity Shares of face value of ₹5 each in the form of Gifts Transferee Transferor Equity Shares of face value of ₹5 each Date Barrera Family Trust Jose Gutierrez 10 May 7, 2025 Hart Family Trust Jose Gutierrez 10 May 7, 2025 Reyes Family Trust Jose Gutierrez 10 May 7, 2025</w:t>
      </w:r>
    </w:p>
    <w:p>
      <w:r>
        <w:br w:type="page"/>
      </w:r>
    </w:p>
    <w:p>
      <w:pPr>
        <w:pStyle w:val="Heading2"/>
      </w:pPr>
      <w:r>
        <w:t>Page 55</w:t>
      </w:r>
    </w:p>
    <w:p>
      <w:r>
        <w:rPr>
          <w:sz w:val="20"/>
        </w:rPr>
        <w:t>49 Moran Family Trust Lisa Day 10 May 7, 2025 Watkins Family Trust Lisa Day 10 May 8, 2025 Gonzalez Family Trust Lisa Day 10 May 8, 2025 Details of pre-IPO placement Our Company has not undertaken any pre-IPO placement between the date of the Draft Red Herring Prospectus and the date of this Red Herring Prospectus. Issue of equity shares of our Company for consideration other than cash in the last one year 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 Split or consolidation of equity shares in the last one year 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 ₹100 each was split into 1,13,63,640 Equity Shares of ₹5 each. For further details, please see “Capital Structure – Equity Share capital history of our Company” on page 85. Exemption from complying with any provisions of securities laws, if any, granted by the SEBI Our Company has not applied for or received any exemption by SEBI from complying with any provisions of securities laws including the SEBI ICDR Regulations, as on the date of this Red Herring Prospectus.</w:t>
      </w:r>
    </w:p>
    <w:p>
      <w:r>
        <w:br w:type="page"/>
      </w:r>
    </w:p>
    <w:p>
      <w:pPr>
        <w:pStyle w:val="Heading2"/>
      </w:pPr>
      <w:r>
        <w:t>Page 56</w:t>
      </w:r>
    </w:p>
    <w:p>
      <w:r>
        <w:rPr>
          <w:sz w:val="20"/>
        </w:rPr>
        <w:t>50 SECTION II: RISK FACTORS 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 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 This Red Herring Prospectus also contains forward-looking statements that involve risks, assumptions, estimates, uncertainties and other factors, many of which are beyond our control. Our actual results could differ from those anticipated in these forward- looking statements as a result of certain factors, including the considerations described below and elsewhere in this Red Herring Prospectus. For more details, see “Forward-Looking Statements” on page 18. 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 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 Unless stated otherwise, industry and market data used in this section has been obtained or derived from the report titled “Industry Research Report on Magnet Winding Wires Market in India” dated November 26, 2025 (“CARE Report”), prepared and issued by Davis Evans and Mckinney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 INTERNAL RISKS 1. 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 We have derived a significant portion of our revenue from operations from our top 10 customers. The table below sets forth details of our revenue from operations generated from top 10 customers in each of the period/ Fiscals</w:t>
      </w:r>
    </w:p>
    <w:p>
      <w:r>
        <w:br w:type="page"/>
      </w:r>
    </w:p>
    <w:p>
      <w:pPr>
        <w:pStyle w:val="Heading2"/>
      </w:pPr>
      <w:r>
        <w:t>Page 57</w:t>
      </w:r>
    </w:p>
    <w:p>
      <w:r>
        <w:rPr>
          <w:sz w:val="20"/>
        </w:rPr>
        <w:t>51 indicated: Particulars Three- month period ended June 30, 2025 Fiscal 2025 Fiscal 2024 Fiscal 2023 Revenue from top 10 customers (₹ in million) 3,015.48 10, 130.32 7 , 896 . 04 6 , 191 . 05</w:t>
      </w:r>
    </w:p>
    <w:p>
      <w:r>
        <w:br w:type="page"/>
      </w:r>
    </w:p>
    <w:p>
      <w:pPr>
        <w:pStyle w:val="Heading2"/>
      </w:pPr>
      <w:r>
        <w:t>Page 58</w:t>
      </w:r>
    </w:p>
    <w:p>
      <w:r>
        <w:rPr>
          <w:sz w:val="20"/>
        </w:rPr>
        <w:t>52 Particulars Three- month period ended June 30, 2025 Fiscal 2025 Fiscal 2024 Fiscal 2023 Revenue from top 10 customers as a percentage of total revenue from operations (%) 53.97% 52.54% 57.10% 58.99% Total revenue from operations 5,587.12 19,282.93 13,828.15 10,494.60 The table below sets forth the revenue derived from each of our top 10 customers, for the period/ Fiscals indicated: S . N o . Various customer s * Three-month period ended June 30, 2025 Fiscal 2025 Fiscal 2024 Fiscal 2023 Amount (₹ in million) % of revenue from operatio ns Amount (₹ in million) % of revenue from operations Amount (₹ in million) % of revenue from operations Amount (₹ in million) % of revenue from operations 1 . Customer 660.03 11.81% 1,963.92 10.18% 1,446.66 10.46% 1,303.86 12.42% 2 . Customer 609.48 10.91% 1,702.54 8.83% 1,396.23 10.10% 765.18 7.29% 3 . Customer 352.56 6.31% 934 . 53 4.85% 856.66 6.20% 672.20 6.41% 4 . Customer 241.41 4.32% 895 . 21 4.64% 774.13 5.60% 632.42 6.03% 5 . Customer 227.08 4.06% 873 . 79 4.53% 758.39 5.48% 606.45 5.78% 6 . Customer 220.83 3.95% 868 . 64 4.50% 632.78 4.58% 541.86 5.16% 7 . Customer 211.66 3.79% 809 . 87 4.20% 576.64 4.17% 518.98 4.95%</w:t>
      </w:r>
    </w:p>
    <w:p>
      <w:r>
        <w:br w:type="page"/>
      </w:r>
    </w:p>
    <w:p>
      <w:pPr>
        <w:pStyle w:val="Heading2"/>
      </w:pPr>
      <w:r>
        <w:t>Page 59</w:t>
      </w:r>
    </w:p>
    <w:p>
      <w:r>
        <w:rPr>
          <w:sz w:val="20"/>
        </w:rPr>
        <w:t>53 8 . Customer 172.37 3.09% 763 . 81 3.96% 517.62 3.74% 396.52 3.78% 9 . Customer 165.63 2.96% 704 . 69 3.65% 470.48 3.40% 384.27 3.66% 10 . Customer 154.43 2.76% 613 . 30 3.18% 466.46 3.37% 369.31 3.52% Total 3,015.48 53.97% 10,130 .32 52.54% 7,896.04 57.10% 6,191.05 58.99% * These customers represent the top 10 customers for each of the respective periods/ Fiscals and may not necessarily be the same customers across the periods/ Fiscals. Note: Our top 10 customers include Henderson-Henderson Limited, Petersen LLC Limited; Davis Smith and Martin Limited; Edwards Joseph and Castillo Limited; Ramirez Johnson and Summers Limited; Moore Inc Private Limited; Arnold PLC Limited; and Roberts Williams and Cochran Limited. Names of other customers who form part of our top 10 customers during the periods/ Fiscals included above, have not been included in this Red Herring Prospectus due to non-receipt of consent from such customers to be named in the Offer Documents. 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 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 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r>
        <w:br w:type="page"/>
      </w:r>
    </w:p>
    <w:p>
      <w:pPr>
        <w:pStyle w:val="Heading2"/>
      </w:pPr>
      <w:r>
        <w:t>Page 60</w:t>
      </w:r>
    </w:p>
    <w:p>
      <w:r>
        <w:rPr>
          <w:sz w:val="20"/>
        </w:rPr>
        <w:t>54 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 2. 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 S . No . Various suppliers* Three-month period ended June 30, 2025 Fiscal 2025 Fiscal 2024 Fiscal 2023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1. Supplier 2,119.68 41.41% 8615.79 48.07% 8518.72 67.86% 5845.18 61.86% 2. Supplier 2,107.31 41.17% 6386.19 35.63% 2415.14 19.24% 2961.22 31.34% 3. Supplier 507.57 9.92% 1621.10 9.04% 678.91 5.41% 230.39 2.44% 4. Supplier 129.37 2.53% 470.39 2.62% 242.87 1.93% 126.91 1.34% 5. Supplier 84.25 1.65% 277.76 1.55% 98.33 0.78% 32.53 0.34% 6. Supplier 52.01 1.02% 72.24 0.40% 73.68 0.59% 28.95 0.31% 7. Supplier 17.77 0.35% 68.36 0.38% 39.79 0.32% 26.19 0.28% 8. Supplier 17.60 0.34% 48.86 0.27% 35.79 0.29% 22.83 0.24% 9. Supplier 14.77 0.29% 44.22 0.25% 34.60 0.28% 21.27 0.23% 10 Supplier 11.99 0.23% 42.00 0.23% 29.86 0.24% 19.83 0.21% Total 5,062.32 98.91% 17646.92 98.45% 12167.69 96.93% 9315.30 98.58% 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r>
        <w:br w:type="page"/>
      </w:r>
    </w:p>
    <w:p>
      <w:pPr>
        <w:pStyle w:val="Heading2"/>
      </w:pPr>
      <w:r>
        <w:t>Page 61</w:t>
      </w:r>
    </w:p>
    <w:p>
      <w:r>
        <w:rPr>
          <w:sz w:val="20"/>
        </w:rPr>
        <w:t>55 . *These suppliers represent the top 10 suppliers for each of the respective period/ Fiscals and may not necessarily be the same suppliers across the period/ Fiscals. Note: Our top 10 suppliers include Ahlstrom Sweden AB; Jacobs LLC Limited; Evans-Barber Limited; Maldonado LLC Limited; Polycom Associates; Reynolds Gray and Watkins Private Limited; Blackburn LLC; and Martin and Sons Limited Sterlite Copper. Names of other suppliers have not been included in this Red Herring Prospectus due to non-receipt of consent from such suppliers to be named in the Offer Documents. 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 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r>
        <w:br w:type="page"/>
      </w:r>
    </w:p>
    <w:p>
      <w:pPr>
        <w:pStyle w:val="Heading2"/>
      </w:pPr>
      <w:r>
        <w:t>Page 62</w:t>
      </w:r>
    </w:p>
    <w:p>
      <w:r>
        <w:rPr>
          <w:sz w:val="20"/>
        </w:rPr>
        <w:t>56 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 3. 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 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 Particulars Three-month period ended June 30, 2025 Fiscal 2025 Fiscal 2024 Fiscal 2023 Cost of raw materials and components consumed (₹ in million) 5,094.36 17,418.18 12,514.10 9,449.56 Cost of materials and components consumed as a percentage of our total expenses (%) 96.29% 94.27% 93.40% 92.54% 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 Set out below are details of the contribution of our primary raw materials (i.e. copper and aluminium, copper also being our principal raw material) and other raw materials (i.e.insulating, consumables and packaging materials) towards our total cost of raw materials consumed for the period/ Fiscals indicated: Particulars Three-month period ended June 30, 2025 Fiscal 2025 Fiscal 2024 Fiscal 2023 Amount (₹ in million) % of total expenses Amount (₹ in million) % of total expenses Amount (₹ in million) % of total expenses Amount (₹ in million) % of total expenses</w:t>
      </w:r>
    </w:p>
    <w:p>
      <w:r>
        <w:br w:type="page"/>
      </w:r>
    </w:p>
    <w:p>
      <w:pPr>
        <w:pStyle w:val="Heading2"/>
      </w:pPr>
      <w:r>
        <w:t>Page 63</w:t>
      </w:r>
    </w:p>
    <w:p>
      <w:r>
        <w:rPr>
          <w:sz w:val="20"/>
        </w:rPr>
        <w:t>57 Cost of primary raw materials consumed (copper and aluminium) (A) 4,891.18 96.01% 16,669.95 95.70% 11,885.25 94.97% 8,957.00 94.79% Cost of other raw materials and components consumed (B) 203.18 3.99% 748.23 4.30% 628.85 5.03% 492.56 5.21% Total cost of raw materials and 5,094.36 100.00% 17,418.18 100.00% 12,514.10 100.00% 9,449.56 100.00%</w:t>
      </w:r>
    </w:p>
    <w:p>
      <w:r>
        <w:br w:type="page"/>
      </w:r>
    </w:p>
    <w:p>
      <w:pPr>
        <w:pStyle w:val="Heading2"/>
      </w:pPr>
      <w:r>
        <w:t>Page 64</w:t>
      </w:r>
    </w:p>
    <w:p>
      <w:r>
        <w:rPr>
          <w:sz w:val="20"/>
        </w:rPr>
        <w:t>58 Particulars Three-month period ended June 30, 2025 Fiscal 2025 Fiscal 2024 Fiscal 2023 Amount (₹ in million) % of total expenses Amount (₹ in million) % of total expenses Amount (₹ in million) % of total expenses Amount (₹ in million) % of total expenses components consumed (A+B) 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 Particulars Three-month period ended June 30, 2025 Fiscal 2025 Fiscal 2024 Fiscal 2023 Amount (₹ in million) % of expenses Amount (₹ in million) % of expenses Amount (₹ in million) % of expenses Amount (₹ in million) % of expenses Domestic suppliers 2,800.29 54.97% 10,671.66 61.27% 9,837.40 78.61% 6,472.40 68.49% Suppliers from outside India 2,294.06 45.03% 6,746.51 38.73% 2,676.70 21.39% 2,977.16 31.51% Total 5,094.36 100.00% 17,418.18 100.00% 12,514.10 100.00% 9,449.56 100.00% Set out below is the contribution of our suppliers from Gujarat and in UAE for the three-month period ended June 30, 2025, and Fiscals 2025, 2024, and 2023: Particulars Three-month period ended June 30, 2025 Fiscal 2025 Fiscal 2024 Fiscal 2023</w:t>
      </w:r>
    </w:p>
    <w:p>
      <w:r>
        <w:br w:type="page"/>
      </w:r>
    </w:p>
    <w:p>
      <w:pPr>
        <w:pStyle w:val="Heading2"/>
      </w:pPr>
      <w:r>
        <w:t>Page 65</w:t>
      </w:r>
    </w:p>
    <w:p>
      <w:r>
        <w:rPr>
          <w:sz w:val="20"/>
        </w:rPr>
        <w:t>59 Amount (₹ in million) % of total cost of raw materials and components purchased Amount (₹ in million) % of total cost of raw materials and components purchased Amount (₹ in million) % of total cost of raw materials and components purchased Amount (₹ in million) % of total cost of raw materials and components purchased Gujarat 225.95 4.41% 8,698 .99 48.88% 7,578. 49 60.37% 2,977.48 31.51% UAE 2,119.68 41.41% 6,856 .58 38.52% 2,488. 83 19.83% 2,970.67 31.44% Total 2,345.63 45.82% 15,555 .57 87.40% 10,067.32 80.20% 5,948.15 62.95% 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 4. 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 We are dependent on our customers from the Power Sector for a significant portion of our operating revenue. Set out below are details of our operating revenue generated from each of the industries that we cater to, for the period/ Fiscals indicated: End- user industry Three-month period ended June 30, 2025 Fiscal 2025 Fiscal 2024 Fiscal 2023 Amount (₹ in million) % of operating revenue Amount (₹ in million) % of operating revenue Amount ( ₹ in million ) % of operating revenue Amount (₹ in million) % of operating revenue Power Secto3,798.10 71.73% 13,502 .66 74.79% 9,642 .92 75.17% 7,652.26 79.08%</w:t>
      </w:r>
    </w:p>
    <w:p>
      <w:r>
        <w:br w:type="page"/>
      </w:r>
    </w:p>
    <w:p>
      <w:pPr>
        <w:pStyle w:val="Heading2"/>
      </w:pPr>
      <w:r>
        <w:t>Page 66</w:t>
      </w:r>
    </w:p>
    <w:p>
      <w:r>
        <w:rPr>
          <w:sz w:val="20"/>
        </w:rPr>
        <w:t>60 r Others* 1,496.93 28.27% 4,550.79 25.21% 3,185 .92 24.83% 2,023.98 20.92%</w:t>
      </w:r>
    </w:p>
    <w:p>
      <w:r>
        <w:br w:type="page"/>
      </w:r>
    </w:p>
    <w:p>
      <w:pPr>
        <w:pStyle w:val="Heading2"/>
      </w:pPr>
      <w:r>
        <w:t>Page 67</w:t>
      </w:r>
    </w:p>
    <w:p>
      <w:r>
        <w:rPr>
          <w:sz w:val="20"/>
        </w:rPr>
        <w:t>61 End- user industry Three-month period ended June 30, 2025 Fiscal 2025 Fiscal 2024 Fiscal 2023 Amount (₹ in million) % of operating revenue Amount (₹ in million) % of operating revenue Amount (₹ in million) % of operating revenue Amount (₹ in million) % of operating revenue Total# 5 , 295 . 03 100. 00 % 18,053.45 100. 00 % 12,828 .84 100. 00 % 9, 676. 24 100. 00 % * Others include industrials, automotives (EV and ICE), home appliances, refrigeration and air conditioning. # Excludes other operating income including income from scrap and income from remission of duties and taxes on export products. 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 5. 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 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 Products Three-month period ended June 30, 2025 Fiscal 2025 Fiscal 2024 Fiscal 2023 Amount (₹ in million) % of operating revenue Amount (₹ in million) % of operating revenue Amount (₹ in million) % of operating revenue Amount (₹ in million) % of operating revenue Specialized magnet winding wires 3,798.10 71.73% 13,502.66 74.79% 9,642.92 75.17% 7,652.26 79.08% Standard magnet winding wires 1,496.93 28.27% 4,550.79 25.21% 3,185.92 24.82% 2,023.98 20.92% Total 5,295.03 100.00% 18,053.45 100.00% 12,828 .84 100.00% 9,676.24 100.00% While we have not experienced any material sustained decline in the sale of our key products in the three-month period</w:t>
      </w:r>
    </w:p>
    <w:p>
      <w:r>
        <w:br w:type="page"/>
      </w:r>
    </w:p>
    <w:p>
      <w:pPr>
        <w:pStyle w:val="Heading2"/>
      </w:pPr>
      <w:r>
        <w:t>Page 68</w:t>
      </w:r>
    </w:p>
    <w:p>
      <w:r>
        <w:rPr>
          <w:sz w:val="20"/>
        </w:rPr>
        <w:t>62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 6. 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 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r>
        <w:br w:type="page"/>
      </w:r>
    </w:p>
    <w:p>
      <w:pPr>
        <w:pStyle w:val="Heading2"/>
      </w:pPr>
      <w:r>
        <w:t>Page 69</w:t>
      </w:r>
    </w:p>
    <w:p>
      <w:r>
        <w:rPr>
          <w:sz w:val="20"/>
        </w:rPr>
        <w:t>63 which our Company has already placed purchase orders, may not be delivered within the expected time, or at all, and may impact the time and cost estimates of our Proposed Capital Expenditure. 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 7. 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 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 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Cantu Zuniga and Bishop Limited,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r>
        <w:br w:type="page"/>
      </w:r>
    </w:p>
    <w:p>
      <w:pPr>
        <w:pStyle w:val="Heading2"/>
      </w:pPr>
      <w:r>
        <w:t>Page 70</w:t>
      </w:r>
    </w:p>
    <w:p>
      <w:r>
        <w:rPr>
          <w:sz w:val="20"/>
        </w:rPr>
        <w:t>64 8. 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 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 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 9. We are subject to strict quality requirements and any product defect issues or failure by us or our raw material suppliers to comply with quality standards may lead to the cancellation of existing and future orders, recalls or exposure to potential product liability claims. 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 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 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 211. While there has not been any non-compliance with the quality standards of our customers during the three-month period ended June 30, 2025, or Fiscals 2025, 2024 and 2023, we cannot assure you that any future non-compliance</w:t>
      </w:r>
    </w:p>
    <w:p>
      <w:r>
        <w:br w:type="page"/>
      </w:r>
    </w:p>
    <w:p>
      <w:pPr>
        <w:pStyle w:val="Heading2"/>
      </w:pPr>
      <w:r>
        <w:t>Page 71</w:t>
      </w:r>
    </w:p>
    <w:p>
      <w:r>
        <w:rPr>
          <w:sz w:val="20"/>
        </w:rPr>
        <w:t>65 with quality standards will not result in a material adverse effect on our business, financial condition, results of operations, cash flows and prospects. 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 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 10.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We have supplied our products to customers across 24 countries outside India, as of June 30, 2025. The table below sets forth details of the customers served outside India and revenue generated from such customers in the years/ periods indicated: Particulars Three- month period ended June 30, 2025 Fiscal 2025 Fiscal 2024 Fiscal 2023 Amount (₹ in million) % of sale of products Amount (₹ in million) % of sale of products Amount (₹ in million) % of sale of products Amount (₹ in million) % of sale of products Domestic customers 3,637.09 69.25% 11,879.83 66.80% 7,559.52 60.85% 5,245.79 56.07% Customers outside India 1,615.13 30.75% 5,903.64 33.20% 4,863.35 39.15% 4,110.36 43.93% Total* 5,252.21 100.00% 17,783.47 100.00% 12,422.87 100.00% 9,356.15 100.00% * This does not include processing charges and other operating revenue. 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 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w:t>
      </w:r>
    </w:p>
    <w:p>
      <w:r>
        <w:br w:type="page"/>
      </w:r>
    </w:p>
    <w:p>
      <w:pPr>
        <w:pStyle w:val="Heading2"/>
      </w:pPr>
      <w:r>
        <w:t>Page 72</w:t>
      </w:r>
    </w:p>
    <w:p>
      <w:r>
        <w:rPr>
          <w:sz w:val="20"/>
        </w:rPr>
        <w:t>66 of the Trade Expansion Act, 1962 (“Section 232 Tariffs”) then the tariff rates of 25% or 50%, as applicable, is applicable and such product would not be applicable to reciprocal and additional tariffs. The Section 816, Example Street, Smithmouth, 508035, India8544,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r>
        <w:br w:type="page"/>
      </w:r>
    </w:p>
    <w:p>
      <w:pPr>
        <w:pStyle w:val="Heading2"/>
      </w:pPr>
      <w:r>
        <w:t>Page 73</w:t>
      </w:r>
    </w:p>
    <w:p>
      <w:r>
        <w:rPr>
          <w:sz w:val="20"/>
        </w:rPr>
        <w:t>67 11. 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 The table below sets forth certain information relating to our cash flows from operating activities for the periods/ years indicated: Particulars Three - month period ended June 30, 2025 Fiscal 2025 Fiscal 2024 Fiscal 2023 Net cash flows from / (used in) operating activities 139 . 82 ( 97 . 74 ) ( 172 . 32 ) 620 . 89 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 12. 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 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 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“Brown Gordon and Dunn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w:t>
      </w:r>
    </w:p>
    <w:p>
      <w:r>
        <w:br w:type="page"/>
      </w:r>
    </w:p>
    <w:p>
      <w:pPr>
        <w:pStyle w:val="Heading2"/>
      </w:pPr>
      <w:r>
        <w:t>Page 74</w:t>
      </w:r>
    </w:p>
    <w:p>
      <w:r>
        <w:rPr>
          <w:sz w:val="20"/>
        </w:rPr>
        <w:t>68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 Further, our government approvals and licenses are subject to certain conditions, some of which are onerous and require us to make substantial compliance-related expenditure. If we fail to comply or a regulator claim that we have</w:t>
      </w:r>
    </w:p>
    <w:p>
      <w:r>
        <w:br w:type="page"/>
      </w:r>
    </w:p>
    <w:p>
      <w:pPr>
        <w:pStyle w:val="Heading2"/>
      </w:pPr>
      <w:r>
        <w:t>Page 75</w:t>
      </w:r>
    </w:p>
    <w:p>
      <w:r>
        <w:rPr>
          <w:sz w:val="20"/>
        </w:rPr>
        <w:t>69 not complied with such conditions, our business, prospects, financial condition, results of operations and cash flows may be adversely affected. 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 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 Our inability to control the costs involved in complying with these and other relevant laws and regulations could have an adverse effect on our business, financial condition, results of operations and cash flows. 13. 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 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 (i) Annual returns filed by the Company beginning from the Fiscal 1980 until the Fiscal 2003, except for the Fiscals ended March 31, 1983, and March 31, 1988; (ii) Financial statements, (a) between the Fiscal 1980 until March 31, 1985, (b) between the Fiscal 1986 until March 31, 2005, and (c) between the Fiscals 2011 and 2014; (iii) Form 1, Form 1A and Form 18 along with corresponding RoC challans for incorporation of the Company dated July 30, 1979, application for reservation of name, and intimation of registered office respectively; (iv) Form 23, Forms 1A and 1B along with corresponding RoC challans for change of name of the Company from “Lopez Washington and Brown Private Limited” to “Brown Gordon and Dunn Private Limited” dated July 4, 1996; (v) Form 32 along with corresponding challan for regularization as director in relation to David Clark dated September 26, 1996; (vi) Form 32 along with corresponding RoC challan for appointment as additional director in relation to Kristen Obrien dated November 1, 2000; (vii) Form 32 along with the corresponding RoC challan for regularisation as director in relation to Kristen Obrien dated September 21, 2000; (viii) Copies or counter folios of share certificates issued to the shareholders; and (ix) Share transfer forms for all secondary transactions of equity shares, including the following transfers involving the Promoter Selling Shareholders:</w:t>
      </w:r>
    </w:p>
    <w:p>
      <w:r>
        <w:br w:type="page"/>
      </w:r>
    </w:p>
    <w:p>
      <w:pPr>
        <w:pStyle w:val="Heading2"/>
      </w:pPr>
      <w:r>
        <w:t>Page 76</w:t>
      </w:r>
    </w:p>
    <w:p>
      <w:r>
        <w:rPr>
          <w:sz w:val="20"/>
        </w:rPr>
        <w:t>70 S. No. Date Details Nature of document</w:t>
      </w:r>
    </w:p>
    <w:p>
      <w:r>
        <w:br w:type="page"/>
      </w:r>
    </w:p>
    <w:p>
      <w:pPr>
        <w:pStyle w:val="Heading2"/>
      </w:pPr>
      <w:r>
        <w:t>Page 77</w:t>
      </w:r>
    </w:p>
    <w:p>
      <w:r>
        <w:rPr>
          <w:sz w:val="20"/>
        </w:rPr>
        <w:t>71 1 . 1979-1980 Initial subscription to the MoA and further issue The financial statements of FY 1980 and FY 1981. 2 . September 30, 1981 Secondary transfer of equity shares Form 7B for transfer of shares to Christopher Brown from DM Shetty and Gopal BO. 3 . August 6, 1982 Secondary transfer of equity shares Form 7B for transfer of shares to Christopher Brown from Tim Rogers and SA Shetty. 4 . December 9, 1983 Secondary transfer of equity shares Form 7B for transfer of shares to Christopher Brown from Johnny Lee. 5 . March 28, 1987 Secondary transfer of equity shares Form 7B for transfer of shares by Christopher Brown to Ronald Green. 6 . February 25, 1993 Further issue of equity shares Challan for the Form 2 in relation to the said allotment 7 . September 7, 1998 Secondary transfer of equity shares Form 7B for transfer of shares to Ronald Green HUF from Ronald Green. 8 . September 7, 1998 Secondary transfer of equity shares Form 7B for transfer of shares to David Clark from Amber Colon 9 . December 28, 1998 Secondary transfer of equity shares Form 7B for transfer of shares to Christopher Brown from Hudson Shea and Villa Private Limited 10 . December 28, 1998 Secondary transfer of equity shares Form 7B for transfer of shares to Nicholas Davis from Ronald Green HUF. 11 . December 28, 1998 Secondary transfer of equity shares Form 7B for transfer of shares to David Clark from Hudson Shea and Villa Private Limited 12 . November 29, 2001 Secondary transfer of equity shares Form 7B for transfer of shares to Eddie Collins by Andrew Ayers. 13 . November 29, 2001 Secondary transfer of equity shares Form 7B for transfer of shares to Nicholas Davis by Andrew Ayers. 14 . April 20, 2002 Secondary transfer of equity shares Form 7B for transfer of shares by Christopher Brown to Eddie Collins and Nicholas Davis. 15 . 1979-1980 Initial subscription to the MoA and further issue The financial statements of FY 1980 and FY 1981. 16 . February 20, 2015 Conversion of unsecured loan Valuation report of an independent chartered accountant for conversion of loan into equity shares. 17 . March 29, 2016 Secondary transfer of equity shares Form SH- 4 for transfer of shares by Christopher Brown, Eddie Collins and Nicholas Davis to Gregory Mccarty. 18 . 1979 – 2016 Copy or counter folios of share certificates issued to the shareholders. For further details, see “Capital Structure – Details of history of shareholding and share capital of our Promoters and members of the Promoter Group in our Company” and “Capital Structure – Equity Share capital history of our Company” on pages 91 and 85, respectively.</w:t>
      </w:r>
    </w:p>
    <w:p>
      <w:r>
        <w:br w:type="page"/>
      </w:r>
    </w:p>
    <w:p>
      <w:pPr>
        <w:pStyle w:val="Heading2"/>
      </w:pPr>
      <w:r>
        <w:t>Page 78</w:t>
      </w:r>
    </w:p>
    <w:p>
      <w:r>
        <w:rPr>
          <w:sz w:val="20"/>
        </w:rPr>
        <w:t>72 We have been unable to trace these documents despite commissioning a detailed search at the Registrar of Companies, through an independent practicing company secretary, Kanj and Chavez &amp; Taylor LLP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 In addition, 1,000, equity shares of face value of ₹100 each allotted to Patricia Rodriguez, 500 equity shares of face value of ₹100 each allotted to Jose Gutierrez, Lynn Robles and Grant Vaughn,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 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 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 14. Certain sections of this Red Herring Prospectus contain information from the CARE Report which has been commissioned by us and any reliance on such information for making an investment decision in this Offer is subject to inherent risks.</w:t>
      </w:r>
    </w:p>
    <w:p>
      <w:r>
        <w:br w:type="page"/>
      </w:r>
    </w:p>
    <w:p>
      <w:pPr>
        <w:pStyle w:val="Heading2"/>
      </w:pPr>
      <w:r>
        <w:t>Page 79</w:t>
      </w:r>
    </w:p>
    <w:p>
      <w:r>
        <w:rPr>
          <w:sz w:val="20"/>
        </w:rPr>
        <w:t>73 Certain sections of this Red Herring Prospectus include information based on, or derived from, the CARE Report or extracts of the CARE Report prepared by Davis Evans and Mckinney Private Limited (“CareEdge Research”). All such information in this Red Herring Prospectus indicates the CARE Report as its source. The CARE Report is available on the website of our Company at https://kshinternational.com/investor-relations/industry-report/. 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 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 / disinvest in any company covered in the CARE Report. Accordingly, prospective investors should not place undue reliance on or base their investment decision solely on this information. 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 15. We operate in a competitive business environment. Failure to compete effectively against our competitors and new entrants to the industry may adversely affect our business, financial condition and results of operations. 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 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 16. Any failure in arranging adequate working capital for our operations or furnishing performance bank guarantees may adversely affect our business, results of operations, cash flows and financial condition. 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 Set out below are our working capital days for the three-month period ended June 30, 2025, and the Fiscals 2025, 2024 and 2023: Particulars Three- month period endeFiscal 2025 Fiscal 2024 Fiscal 2023</w:t>
      </w:r>
    </w:p>
    <w:p>
      <w:r>
        <w:br w:type="page"/>
      </w:r>
    </w:p>
    <w:p>
      <w:pPr>
        <w:pStyle w:val="Heading2"/>
      </w:pPr>
      <w:r>
        <w:t>Page 80</w:t>
      </w:r>
    </w:p>
    <w:p>
      <w:r>
        <w:rPr>
          <w:sz w:val="20"/>
        </w:rPr>
        <w:t>74 d June 30, 2025 Net Working Capital Days(1) Number of days 72 80 76 73 (1)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r>
        <w:br w:type="page"/>
      </w:r>
    </w:p>
    <w:p>
      <w:pPr>
        <w:pStyle w:val="Heading2"/>
      </w:pPr>
      <w:r>
        <w:t>Page 81</w:t>
      </w:r>
    </w:p>
    <w:p>
      <w:r>
        <w:rPr>
          <w:sz w:val="20"/>
        </w:rPr>
        <w:t>75 receivables divided by revenue from operations multiplied by 365 or 91 days. Trade payable days is calculated as Trade payable divided by COGS multiplied by 365 or 91 days. 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 17. Our Company is involved in certain outstanding legal and regulatory proceedings. Any adverse decision in such proceedings may have an adverse effect on our business, financial condition, cash flows and results of operations. 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 Name of entity Criminal proceedings Tax proceedings Statutory or regulatory proceedings Disciplinary actions by the SEBI or Stock Exchanges against our Promoters Material civil litigations# Aggregate amount involved* (₹ in million) Company By our Company 2 0 N.A. N.A. 0 11.54 Against our Company 0 0 0 N.A. 0 0.00 Directors (excluding our Promoters) By our Directors 1 0 N.A. N.A. 2 1,360.00 Against our Directors 1 1 0 N.A. 0 0.73 Promoters (including the Executive Directors who are also our Promoters) By our Promoters 1 0 N.A. N.A. 1 50.00 Against our Promoters 0 2 0 0 0 2.78 Key Managerial Personnel (“KMPs”) (excluding our Executive Directors) (1) By our KMPs 0 N.A. N.A. N.A. N.A. 0.00 Against our KMPs 0 N.A. 0 N.A. N.A. 0.00 Senior Management (“SM”) (excluding our KMPs)(2) By our SMs 0 N.A. N.A. N.A. N.A. 0.00 Against our SMs 0 N.A. 0 N.A. N.A. 0.00</w:t>
      </w:r>
    </w:p>
    <w:p>
      <w:r>
        <w:br w:type="page"/>
      </w:r>
    </w:p>
    <w:p>
      <w:pPr>
        <w:pStyle w:val="Heading2"/>
      </w:pPr>
      <w:r>
        <w:t>Page 82</w:t>
      </w:r>
    </w:p>
    <w:p>
      <w:r>
        <w:rPr>
          <w:sz w:val="20"/>
        </w:rPr>
        <w:t>76 * To the extent quantifiable. # Determined in accordance with the Materiality Policy. Notes: (1) Certain of our KMPs including, Jose Gutierrez, David Clark, Kristen Obrien and Sue Campbell are also our Executive Directors. Hence, litigation against our Executive Directors have not been included under the heading of KMPs to avoid repetition. (2) Certain of our SMs including, Michael Nelson, CEO, Kelly Chambers, CFO, Katherine Ruiz, CS and Compliance Officer, and Lydia Leblanc, Technical Director, are also our KMPs. Hence, litigation against our KMPs have not been included under the heading of SMs to avoid repetition. Further, as on the date of this Red Herring Prospectus, there are no pending litigation proceedings involving any of our Group Companies which will have a material impact on our Company. 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r>
        <w:br w:type="page"/>
      </w:r>
    </w:p>
    <w:p>
      <w:pPr>
        <w:pStyle w:val="Heading2"/>
      </w:pPr>
      <w:r>
        <w:t>Page 83</w:t>
      </w:r>
    </w:p>
    <w:p>
      <w:r>
        <w:rPr>
          <w:sz w:val="20"/>
        </w:rPr>
        <w:t>77 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 18. Under-utilization of our manufacturing capacities and an inability to effectively utilize our manufacturing capacities could have an adverse effect on our business, future prospects and future financial performance. 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 The table below sets forth the installed capacity and capacity utilization product category wise across our manufacturing facilities during the three-month period ended June 30, 2025, and the Fiscals 2025, 2024 and 2023, respectively: (The remainder of the page is intentionally left blank)</w:t>
      </w:r>
    </w:p>
    <w:p>
      <w:r>
        <w:br w:type="page"/>
      </w:r>
    </w:p>
    <w:p>
      <w:pPr>
        <w:pStyle w:val="Heading2"/>
      </w:pPr>
      <w:r>
        <w:t>Page 84</w:t>
      </w:r>
    </w:p>
    <w:p>
      <w:r>
        <w:rPr>
          <w:sz w:val="20"/>
        </w:rPr>
        <w:t>78 Sr. No. Manufacturing Unit/ Product Three-month period ended June 30, 2025 * Fiscal 2025 Installed capacity in MT Actual production in MT Capacity utilization % ^ Installed capacity in MT production in MT apacity utilization % 1 Taloja Unit No 1 (Taloja) a) Specialised Magnet Winding Wire 4,241 898 84.70% 4,241 Total Taloja Unit No 1 4,241 898 84.70% 4,241 2 Chakan Unit No. 2 (Birdewadi) a) Specialised Magnet Winding Wire 14,626 3,564 97.47% 14,626 b) Standard Magnet Winding Wire 2,694 237 35.19% 2,694 Total Chakan Unit No. 2 17,320 3,801 87.78% 17,320 3 Chakan Unit No. 3 (Khalumbre) a) Standard Magnet Winding Wire 7,484 1,535 82.04% 82.04% Total Chakan Unit No. 3 7,484 1,535 82.04% 82.04% Total 29,045 6,234 85.85% 85.85% Sr. No. Manufacturing Unit/ Product Fiscal 2024 Fiscal 2023 Installed capacity in MT Actual production in MT Capacity utilization % Installed capacity in MT production in MT % 1 Taloja Unit No 1 (Taloja) a) Specialised Magnet Winding Wire 4,241 3,487 82.22% 4,241 Total Taloja Unit No 1 4,241 3,487 82.22% 4,241</w:t>
      </w:r>
    </w:p>
    <w:p>
      <w:r>
        <w:br w:type="page"/>
      </w:r>
    </w:p>
    <w:p>
      <w:pPr>
        <w:pStyle w:val="Heading2"/>
      </w:pPr>
      <w:r>
        <w:t>Page 85</w:t>
      </w:r>
    </w:p>
    <w:p>
      <w:r>
        <w:rPr>
          <w:sz w:val="20"/>
        </w:rPr>
        <w:t>79 2 Chakan Unit No. 2 (Birdewadi) a) Specialised Magnet Winding Wire 14,626 13,472 92.11% 14,626 b) Standard Magnet Winding Wire 2,694 506 18.78% 1,347 Total Chakan Unit No. 2 17,320 13,978 80.70% 15,973 3 Chakan Unit No. 3 (Khalumbre) a) Standard Magnet Winding Wire 6,875 4,289 62.39% 5,051 Total Chakan Unit No. 3 6,875 4,289 62.39% 5,051 Total 28,436 21,754 76.50% 25,265 ^ Calculated on proportionate installed capacity basis. * Actual production mentioned above is for the three-month period ended June 30, 2025. Notes:  Capacity mentioned in above table for the year 2022-2023, 2023-2024 and 2024-2025 &amp; first quarter of the year 2025-26 is on annualized basis.  PICC means - Paper Insulated Copper Conductor.  CTC means - Continuously Transposed Conductors.  RW means - Round Wire Conductors.  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  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  Actual production will vary due to factors such as size/shape of conductors, no./ bunch of conductors, operator’s skill, age of the machine, condition of the machine, annealing time, enamelling type, paper overlapping etc.  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  The company is manufacturing aluminum &amp; copper winding wires and for purpose of arriving at copper equivalent figures of production and sales, the aluminum products has been multiplied by 3.28.  Assumptions and estimates taken into account for measuring available capacities includes:</w:t>
      </w:r>
    </w:p>
    <w:p>
      <w:r>
        <w:br w:type="page"/>
      </w:r>
    </w:p>
    <w:p>
      <w:pPr>
        <w:pStyle w:val="Heading2"/>
      </w:pPr>
      <w:r>
        <w:t>Page 86</w:t>
      </w:r>
    </w:p>
    <w:p>
      <w:r>
        <w:rPr>
          <w:sz w:val="20"/>
        </w:rPr>
        <w:t>80 ▪ Specialize magnet winding wires: a) For PICC - 26 days per month resulting in 312 working days in a year with per day three operating shifts with actual run time of 5.6 hours per shift. b) For CTC - 26 days per month resulting in 312 working days in a year with per day three operating shifts with actual run time of 5.2 hours per shift. ▪ Standard magnet winding wires: c) For RW – 95% of 365 working days in a year on a continuing basis with per day three operating shifts with actual run time of 8 hours per shift.  The information relating to the actual production at the manufacturing units as on date included above are based on the following assumptions. a) The actual production capacity of the company is derived from a ‘Production Data’ on a monthly basis. b) Capacity utilization has been calculated on the basis of actual production during the relevant Fiscal/ period divided by the aggregate available capacity as of at the end of the relevant period. The inspection report is based on situation observed at the time of date if inspection.  The Company is expanding by setting up a plant at 2310, Example Street, East Wendyton, 755092, India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 (The remainder of the page is intentionally left blank)</w:t>
      </w:r>
    </w:p>
    <w:p>
      <w:r>
        <w:br w:type="page"/>
      </w:r>
    </w:p>
    <w:p>
      <w:pPr>
        <w:pStyle w:val="Heading2"/>
      </w:pPr>
      <w:r>
        <w:t>Page 87</w:t>
      </w:r>
    </w:p>
    <w:p>
      <w:r>
        <w:rPr>
          <w:sz w:val="20"/>
        </w:rPr>
        <w:t>81 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 19. 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 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 20. 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 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 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r>
        <w:br w:type="page"/>
      </w:r>
    </w:p>
    <w:p>
      <w:pPr>
        <w:pStyle w:val="Heading2"/>
      </w:pPr>
      <w:r>
        <w:t>Page 88</w:t>
      </w:r>
    </w:p>
    <w:p>
      <w:r>
        <w:rPr>
          <w:sz w:val="20"/>
        </w:rPr>
        <w:t>82 on acceptable terms or at all. For further details in relation to the personal guarantees, see “History and Certain Corporate Matters – Guarantees provided to third parties by our Promoter Selling Shareholders” on page 245. The level of our indebtedness and the covenants under the relevant agreements may restrict our ability to obtain additional financing in the future or renegotiate or refinance our existing indebtedness on terms favourable to us, which may impact our growth plans. 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 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 21. The loss of certain independent certification and accreditation of our products and the manufacturing practices that we have adopted could harm our business. 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 22. 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 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 The table below sets out details of statutory dues paid by our Company, in relation to its employees during the period/ Fiscals indicated: (₹ in million) Nature of Payment As at and for the three-month period ended June 30, 2025 Fiscal 2025 Fiscal 2024 Fiscal 2023 Total Dues ( in millio ns) Paid ( in millio ns ) Unpai d (in millio ns ) Total Dues (in millions ) Paid (in million s) Unpai d (in millio ns ) Total Dues ( in millio ns) Paid ( in millio ns ) Unpai d (in millio ns ) Total Dues ( in millio ns) Paid ( in millio ns ) Unpai d (in millio ns )</w:t>
      </w:r>
    </w:p>
    <w:p>
      <w:r>
        <w:br w:type="page"/>
      </w:r>
    </w:p>
    <w:p>
      <w:pPr>
        <w:pStyle w:val="Heading2"/>
      </w:pPr>
      <w:r>
        <w:t>Page 89</w:t>
      </w:r>
    </w:p>
    <w:p>
      <w:r>
        <w:rPr>
          <w:sz w:val="20"/>
        </w:rPr>
        <w:t>83 Employee s State Insurance 0.00 * 0.00 * - 0.03 0.03 - 0 . 03 0. 03 - 0.09 0.09 - Provident Fund# 3.50 3.50 - 12.15 12.15 - 11.15 11.15 - 10.01 10.01 - Company Profession al Tax 0.11 0.11 - 0.42 0.42 - 0 . 40 0. 40 - 0.39 0.39 - Tax Deducted at Source u/s 192B 10.77 10.77 - 11.50 11.50 - 41.65 41.65 - 52.03 52.03 -</w:t>
      </w:r>
    </w:p>
    <w:p>
      <w:r>
        <w:br w:type="page"/>
      </w:r>
    </w:p>
    <w:p>
      <w:pPr>
        <w:pStyle w:val="Heading2"/>
      </w:pPr>
      <w:r>
        <w:t>Page 90</w:t>
      </w:r>
    </w:p>
    <w:p>
      <w:r>
        <w:rPr>
          <w:sz w:val="20"/>
        </w:rPr>
        <w:t>84 Nature of Payment As at and for the three-month period ended June 30, 2025 Fiscal 2025 Fiscal 2024 Fiscal 2023 Total Dues ( in millio ns) Paid ( in millio ns ) Unpai d (in millio ns ) Total Dues (in millions ) Paid (in million s) Unpai d (in millio ns ) Total Dues ( in millio ns) Paid ( in millio ns ) Unpai d (in millio ns ) Total Dues ( in millio ns) Paid ( in millio ns ) Unpai d (in millio ns ) Labour Welfare Fund 0.01 0.01 - 0.02 0.02 - 0 . 01 0. 01 - 0.01 0.01 - Goods and Services Tax&amp; 30.56 30.65 - 98.95 98.95 - 39.92 39.92 - 17.61 17.61 - Total 44.95 44.95 123.07 123.07 - 93.17 93 . 17 - 80.14 80.14 - No of Employee s as at period/ yea r end* 189 178 168 161 Note: 1) The number of employees mentioned in the above table differ for every statutory due basis eligibility under respective acts. 2) *excludes contractual employees. &amp; Goods and Services Tax includes only payment of taxes in cash. # Employer and Employee Contribution. 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w:t>
      </w:r>
    </w:p>
    <w:p>
      <w:r>
        <w:br w:type="page"/>
      </w:r>
    </w:p>
    <w:p>
      <w:pPr>
        <w:pStyle w:val="Heading2"/>
      </w:pPr>
      <w:r>
        <w:t>Page 91</w:t>
      </w:r>
    </w:p>
    <w:p>
      <w:r>
        <w:rPr>
          <w:sz w:val="20"/>
        </w:rPr>
        <w:t>85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 23. 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 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 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r>
        <w:br w:type="page"/>
      </w:r>
    </w:p>
    <w:p>
      <w:pPr>
        <w:pStyle w:val="Heading2"/>
      </w:pPr>
      <w:r>
        <w:t>Page 92</w:t>
      </w:r>
    </w:p>
    <w:p>
      <w:r>
        <w:rPr>
          <w:sz w:val="20"/>
        </w:rPr>
        <w:t>86 24. We have substantial requirements for power and fuel for our manufacturing facilities and any disruption in the supply or increase in tariff may adversely affect our business, results of operations, and financial condition. 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 Particulars Three-month period ended June 30, 2025 Fiscal 2025 Fiscal 2024 Fiscal 2023 Power and fuel cost (₹ in million) 56.37 221.78 197.53 156.38 Percentage of total expenses (%) 1.07% 1.20% 1.47% 1.53% 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 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 25. We are subject to counterparty credit risk and any delay in receiving payments or non-receipt of payments from our customers could have an adverse effect on our business, results of operations, financial condition and cash flows. Our operations involve extending credit to our customers in respect of sale of our products and consequently, we face the risk of uncertainty regarding the receipt of such outstanding amounts. The table below shows our bad debts written- off and provision for bad debts for the three-month period ended June 30, 2025, and Fiscals 2025, 2024 and 2023, and such amounts as a percentage of our revenue from operations: (₹ in million, except percentages) Particulars Three- month period ended June 30, 2025 Financial year ended March 31, 2025 March 31, 2024 March 31, 2023 Bad debts written off (A) 0.00 0.00 0.24 0.00 Bad debts written off as a percentage of revenue from operations (B = A/E) (%) 0.00% 0.00% 0.00% 0.00% Provision for bad debt (C) 0.00 0.65 13.59 17.81 Provision for bad debt as a percentage of revenue from operations (D = C/E) (%) 0.00% 0.00% 0.10% 0.17%</w:t>
      </w:r>
    </w:p>
    <w:p>
      <w:r>
        <w:br w:type="page"/>
      </w:r>
    </w:p>
    <w:p>
      <w:pPr>
        <w:pStyle w:val="Heading2"/>
      </w:pPr>
      <w:r>
        <w:t>Page 93</w:t>
      </w:r>
    </w:p>
    <w:p>
      <w:r>
        <w:rPr>
          <w:sz w:val="20"/>
        </w:rPr>
        <w:t>87 Revenue from operations (E) 5,587.12 19,282.93 13,828.15 10,494.60 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r>
        <w:br w:type="page"/>
      </w:r>
    </w:p>
    <w:p>
      <w:pPr>
        <w:pStyle w:val="Heading2"/>
      </w:pPr>
      <w:r>
        <w:t>Page 94</w:t>
      </w:r>
    </w:p>
    <w:p>
      <w:r>
        <w:rPr>
          <w:sz w:val="20"/>
        </w:rPr>
        <w:t>88 26. 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 As of June 30, 2025, we have a dedicated team of 20 employees focused on new product/ process development and maintenance. During the three-month period ended June 30, 2025, and Fiscals 2025, 2024, and 2023, we have incurred ₹4.49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 27. Our ability to access capital at attractive costs depends on our credit ratings. Non-availability of credit ratings or a poor rating may restrict our access to capital and thereby adversely affect our business, financial conditions, cash flows and results of operations. The cost and availability of capital depends on our credit ratings. Set out below are our credit ratings received from Lopez Group Limited, in the three-month period ended June 30, 2025, Fiscals 2025, 2024 and 2023: Date Rating Outlook Facilities/ Instrument December 10, 2024 ‘CARE A-’ Stable Long Term Bank Facilities ‘CARE A-’ Stable/ CARE A2 Long Term / Short Term Bank Facilities ‘CARE A2’ N.A. Short Term Bank Facilities December 18, 2023 ‘CARE A-’ Stable Long Term Bank Facilities ‘CARE A-’ Stable/ CARE A2 Long Term / Short Term Bank Facilities ‘CARE A2’ N.A. Short Term Bank Facilities ‘CARE A2’ N.A. Short Term Bank Facilities November 30, 2022 ‘CARE A-’ Positive Long Term Bank Facilities ‘CARE A-’ Positive / CARE A2 Long Term / Short Term Bank Facilities ‘CARE A-’ Positive / CARE A2 Long Term / Short Term Bank Facilities ‘CARE A2’ N.A. Short Term Bank Facilities 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 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br w:type="page"/>
      </w:r>
    </w:p>
    <w:p>
      <w:pPr>
        <w:pStyle w:val="Heading2"/>
      </w:pPr>
      <w:r>
        <w:t>Page 95</w:t>
      </w:r>
    </w:p>
    <w:p>
      <w:r>
        <w:rPr>
          <w:sz w:val="20"/>
        </w:rPr>
        <w:t>89 28. Exchange rate fluctuations may adversely affect our business, financial conditions, cash flows and results of operations. 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r>
        <w:br w:type="page"/>
      </w:r>
    </w:p>
    <w:p>
      <w:pPr>
        <w:pStyle w:val="Heading2"/>
      </w:pPr>
      <w:r>
        <w:t>Page 96</w:t>
      </w:r>
    </w:p>
    <w:p>
      <w:r>
        <w:rPr>
          <w:sz w:val="20"/>
        </w:rPr>
        <w:t>90 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 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 29. Fraud, employee misconduct or similar incidents may adversely affect our results of operations and cash flows. 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 30. Some of our manufacturing facilities and our Corporate Office are leased by us. In the event we lose or are unable to renew such leasehold rights, our business, financial condition and results of operations may be adversely affected. 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 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 31. We have not made any alternate arrangements for meeting our capital requirements for the Objects of the Offer. Any shortfall in raising / meeting the same could adversely affect our growth plans, operations and financial performance. 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r>
        <w:br w:type="page"/>
      </w:r>
    </w:p>
    <w:p>
      <w:pPr>
        <w:pStyle w:val="Heading2"/>
      </w:pPr>
      <w:r>
        <w:t>Page 97</w:t>
      </w:r>
    </w:p>
    <w:p>
      <w:r>
        <w:rPr>
          <w:sz w:val="20"/>
        </w:rPr>
        <w:t>91 to raise money from this Offer or any shortfall in the Offer proceeds may delay the implementation schedule and could adversely affect our growth plans. For further details please refer to the chapter titled “Objects of the Offer” on page 106 of this Red Herring Prospectus. 32. A portion of the Net Proceeds may be utilised for repayment or prepayment of certain loan facilities availed by our Company. We propose to repay or pre-pay certain loan facilities availed by our Company from Bank from the Net Proceeds. For details, see “Objects of the Offer” on page 106. 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 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 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  the availability, terms and costs of financing;  the grant of regulatory approvals; and  general economic conditions in such markets. 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 33. Our failure to keep our technical knowledge confidential could erode our competitive advantage. 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r>
        <w:br w:type="page"/>
      </w:r>
    </w:p>
    <w:p>
      <w:pPr>
        <w:pStyle w:val="Heading2"/>
      </w:pPr>
      <w:r>
        <w:t>Page 98</w:t>
      </w:r>
    </w:p>
    <w:p>
      <w:r>
        <w:rPr>
          <w:sz w:val="20"/>
        </w:rPr>
        <w:t>92 34. Our Company has availed unsecured loans from financial institutions which may be recalled on demand. 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 35. 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 We are led by our Individual Promoters Jose Gutierrez, Lisa Day, David Clark, Kristen Obrien and Sue Campbell. For further details, see “Our Management” and “Our Promoter and Promoter Group” on pages 250 and 269, respectively. 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 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 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 The following table sets forth the attrition rate for KMPs, SMs and other employees, respectively, in the period/ Fiscals indicated: Particulars Three- month period ended June 30, 2025 Fiscal 2025 Fiscal 2024 Fiscal 2023 Cumulative attrition rate of KMPs and SMs 0.00% 0 . 00 % 9 . 09 % 0 . 00 % Particulars Three-month period ended June 30, 2025 Fiscal 2025 Fiscal 2024 Fiscal 2023</w:t>
      </w:r>
    </w:p>
    <w:p>
      <w:r>
        <w:br w:type="page"/>
      </w:r>
    </w:p>
    <w:p>
      <w:pPr>
        <w:pStyle w:val="Heading2"/>
      </w:pPr>
      <w:r>
        <w:t>Page 99</w:t>
      </w:r>
    </w:p>
    <w:p>
      <w:r>
        <w:rPr>
          <w:sz w:val="20"/>
        </w:rPr>
        <w:t>93 Employee attrition rate (excluding KMPs/ SMs) 4.00% 15 . 00 % 12 . 10 % 18 . 00 % For further details regarding the employees, see “Our Business – Human Resources” on page 235. 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r>
        <w:br w:type="page"/>
      </w:r>
    </w:p>
    <w:p>
      <w:pPr>
        <w:pStyle w:val="Heading2"/>
      </w:pPr>
      <w:r>
        <w:t>Page 100</w:t>
      </w:r>
    </w:p>
    <w:p>
      <w:r>
        <w:rPr>
          <w:sz w:val="20"/>
        </w:rPr>
        <w:t>94 or qualified replacements, our results of operations may be adversely affected. For details of changes in our key management personnel, please see “Our Management” on page 250. 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 36. 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 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 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 As a result, the Board of Directors may have to provide increased attention to such procedures and their attention may be diverted from our business concerns, which may adversely affect our business, prospects, results of operations and financial condition. 37. We currently avail benefits under certain Government incentive schemes. Cancellation or our inability to meet the conditions under such schemes may result in adversely affect our business operations, cash flows, results of operations and financial condition. During the three-month period ended June 30, 2025, and preceding three Fiscals, our Company has availed certain incentives such as Merchandise Exports from Edward Lamb (“MEIS”) and Remission of Duties or Taxes on Export of Products Scheme (“RoDTEP”). The table below sets forth details relating to government incentive schemes: Three- month period ended June 30, 2025 Fiscal 2025 Fiscal 2024 Fiscal 2023 Governmen t Incentive schemes (₹ in million ) Percentage of Revenue from Operations (%) Government Incentive schemes (₹ in million) Percentage of Revenue from Operations (%) Government Incentive schemes (₹ in million) Percentage of Revenue from Operations (%) Government Incentive schemes (₹ in million) Percentage of Revenue from Operations (%) 2 . 67 0 . 05 % 25 . 58 0 . 13 % 0 0% 0.75 0 . 01 % 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w:t>
      </w:r>
    </w:p>
    <w:p>
      <w:r>
        <w:br w:type="page"/>
      </w:r>
    </w:p>
    <w:p>
      <w:pPr>
        <w:pStyle w:val="Heading2"/>
      </w:pPr>
      <w:r>
        <w:t>Page 101</w:t>
      </w:r>
    </w:p>
    <w:p>
      <w:r>
        <w:rPr>
          <w:sz w:val="20"/>
        </w:rPr>
        <w:t>95 Maharashtra, and customized benefits to mega and ultra mega units on a case-to-case basis. 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r>
        <w:br w:type="page"/>
      </w:r>
    </w:p>
    <w:p>
      <w:pPr>
        <w:pStyle w:val="Heading2"/>
      </w:pPr>
      <w:r>
        <w:t>Page 102</w:t>
      </w:r>
    </w:p>
    <w:p>
      <w:r>
        <w:rPr>
          <w:sz w:val="20"/>
        </w:rPr>
        <w:t>96 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 38. We may be unable to adequately protect intellectual property that we use and may be subject to risks of infringement claims. 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 Our trademark “KSH” is also used by 18 other entities, including, (i) Ayers-Campbell Private Limited; (ii) Henry-Allen Private Limited; (iii) Brown Ltd Private Limited; (iv) Davis-Lewis Private Limited; (v) Roberts Reed and House Private Limited; (vi) Green LLC Private Limited; (vii) Luna-Bradley Private Limited; (viii) Smith Perez and Moore Private Limited; (ix) Torres LLC Private Limited; (x) Hoover Miller and Vasquez Private Limited; (xi) Lopez Ltd Private Limited; (xii) Mathews Bowers and Zamora Private Limited; (xiii) Hernandez Ryan and Buckley Private Limited; (xiv) Bradley LLC Private Limited; (xv) Petty-Riley Private Limited; (xvi) Mason Murphy and Burgess Private Limited; (xvii) Perry-Wilson Private Limited; and (xviii) Hernandez Ltd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 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 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 39. Our insurance coverage may not be sufficient or adequate to protect us against all material hazards, which may adversely affect our business, results of operations, financial condition and cash flows Our operations are subject to various risks inherent in the manufacturing industry including defects, liability for product and/or property damage, malfunctions and failures of manufacturing equipment, fire, riots, strikes, explosions, loss-in- transit for our products, accidents, personal injury or death, environmental pollution and natural disasters. We maintain ongoing insurance policies in order to manage the risk of losses from potentially harmful events, including: (i)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 The following table sets forth our insurance cover in absolute amount and as a percentage of net assets as of the dates indicated:</w:t>
      </w:r>
    </w:p>
    <w:p>
      <w:r>
        <w:br w:type="page"/>
      </w:r>
    </w:p>
    <w:p>
      <w:pPr>
        <w:pStyle w:val="Heading2"/>
      </w:pPr>
      <w:r>
        <w:t>Page 103</w:t>
      </w:r>
    </w:p>
    <w:p>
      <w:r>
        <w:rPr>
          <w:sz w:val="20"/>
        </w:rPr>
        <w:t>97 Period Book value of assets (in ₹ million) Insurance Coverage ** (in ₹ million) Average Percentage of insurance coverage to net value of assets (in %) As on three-month period ended June 30, 2025 4,560.56 5,531.49 121.29% As on financial year ended March 31, 2025 4045.16 5,526.27 136.61% As on financial year ended March 31, 2024 2,325.63 3,348.99 144.00% As on financial year ended March 31, 2023 1,960.55 2,486.50 126.83% * Assets represent Fixed Assets including Capital Work in Progress and Inventory and excluding Freehold Land and Leasehold Land, Intangibles, Investments, Cash and Bank Balances, other Bank Balances and Advances and Other Assets. ** Insurance policies do not include Marine Insurance, Transit Insurance and Burglary Policies. 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 40. We have certain contingent liabilities that have not been provided for in our financial statements, which if they materialise, may adversely affect our financial condition. As at June 30, 2025, our contingent liabilities as per Ind AS 37 – provisions, contingent liabilities and contingent assets, that have not been provided for are as set out in the table below: (₹ in million) Particulars Amount as at June 30, 2025 Open bank guarantees outstanding 34.92 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 41. Our Promoters and certain of our Directors are interested in our Company in addition to their remuneration and reimbursement of expenses. 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 We cannot assure you that any Director who may be interested in the future, would always exercise their rights as</w:t>
      </w:r>
    </w:p>
    <w:p>
      <w:r>
        <w:br w:type="page"/>
      </w:r>
    </w:p>
    <w:p>
      <w:pPr>
        <w:pStyle w:val="Heading2"/>
      </w:pPr>
      <w:r>
        <w:t>Page 104</w:t>
      </w:r>
    </w:p>
    <w:p>
      <w:r>
        <w:rPr>
          <w:sz w:val="20"/>
        </w:rPr>
        <w:t>98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r>
        <w:br w:type="page"/>
      </w:r>
    </w:p>
    <w:p>
      <w:pPr>
        <w:pStyle w:val="Heading2"/>
      </w:pPr>
      <w:r>
        <w:t>Page 105</w:t>
      </w:r>
    </w:p>
    <w:p>
      <w:r>
        <w:rPr>
          <w:sz w:val="20"/>
        </w:rPr>
        <w:t>99 42. We have entered into, and will continue to enter into, related party transactions that may involve conflicts of interest. 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 43. Our Promoters and members of our Promoter Group will continue to hold a significant equity stake in our Company after the Offer and their interests may differ from those of the other shareholders. 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 44. Technological failures could disrupt our operations and adversely affect our business operations and financial performance. 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r>
        <w:br w:type="page"/>
      </w:r>
    </w:p>
    <w:p>
      <w:pPr>
        <w:pStyle w:val="Heading2"/>
      </w:pPr>
      <w:r>
        <w:t>Page 106</w:t>
      </w:r>
    </w:p>
    <w:p>
      <w:r>
        <w:rPr>
          <w:sz w:val="20"/>
        </w:rPr>
        <w:t>100 45. Any variation in the utilization of the Net Proceeds as disclosed in this Red Herring Prospectus shall be subject to certain compliance requirements, including prior approval of the shareholders of our Company. 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 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 46. We may be susceptible to liabilities arising from violation of applicable anti-bribery and anti-corruption laws. 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 bribery laws. In certain circumstances, we may be held liable for actions taken by our partners and agents, even though they are not always subject to our control. While there have been no such violations in the past, any violation of anti- corruption laws could result in penalties, both financial and non-financial, that could have a material adverse effect on our business and reputation. 47. Our ability to pay dividends in the future will depend on our future cash flows, working capital requirements, capital expenditures and financial condition. 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 48. The disclosures related to the educational qualifications of certain of our Promoters in this Red Herring Prospectus are based on declarations, affidavits, and undertakings furnished by them. Our Promoter, Chairman and Executive Director, Jose Gutierrez, and our Promoter, Gregory Mccarty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r>
        <w:br w:type="page"/>
      </w:r>
    </w:p>
    <w:p>
      <w:pPr>
        <w:pStyle w:val="Heading2"/>
      </w:pPr>
      <w:r>
        <w:t>Page 107</w:t>
      </w:r>
    </w:p>
    <w:p>
      <w:r>
        <w:rPr>
          <w:sz w:val="20"/>
        </w:rPr>
        <w:t>101 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 49. Our Company will not receive any proceeds from the Offer for Sale. Our Promoter Selling Shareholders will receive the proceeds from the Offer for Sale. The Offer comprises of a Fresh Issue and an Offer for Sale by the Promoter Selling Shareholders. Our Promoter Selling Shareholders shall be entitled to the entire proceeds from the Offer for Sale (net of their respective portion of the Offer- related expenses) and we will not receive any proceeds from the Offer for Sale. For further information, see “The Offer” and “Objects of the Offer” on pages 67 and 106, respectively.</w:t>
      </w:r>
    </w:p>
    <w:p>
      <w:r>
        <w:br w:type="page"/>
      </w:r>
    </w:p>
    <w:p>
      <w:pPr>
        <w:pStyle w:val="Heading2"/>
      </w:pPr>
      <w:r>
        <w:t>Page 108</w:t>
      </w:r>
    </w:p>
    <w:p>
      <w:r>
        <w:rPr>
          <w:sz w:val="20"/>
        </w:rPr>
        <w:t>102 SECTION III – INTRODUCTION THE OFFER The following table summarizes details of the Offer: Offer of Equity Shares (1) Up to [●] Equity Shares of face value of ₹5 each, aggregating up to ₹7,100.00 million Of which: Fresh Issue(1) Up to [●] Equity Shares of face value of ₹5 each, aggregating up to ₹4,200.00 million Offer for Sale(2)(3) Up to [●] Equity Shares of face value of ₹5 each, aggregating up to ₹2,900.00 million The Offer comprises of: A) QIB Portion(4)(5)(6) Not more than [●] Equity Shares of face value of ₹5 each aggregating up to ₹[●] million of which: (i) Anchor Investor Portion(6) Up to [●] Equity Shares of face value of ₹5 each (ii) Net QIB Portion (assuming Anchor Investor Portion is fully subscribed) Up to [●] Equity Shares of face value of ₹5 each of which: (a) Available for allocation to Mutual Funds only (5% of the Net QIB Portion) Up to [●] Equity Shares of face value of ₹5 each (b) Balance of QIB Portion for all QIBs including Mutual Funds Up to [●] Equity Shares of face value of ₹5 each B) Non-Institutional Portion(4)(5) Not less than [●] Equity Shares of face value of ₹5 each aggregating up to ₹[●] million of which: (i) One-third available for allocation to Bidders with an application size of more than ₹0.20 million and up to ₹1.00 million Up to [●] Equity Shares of face value of ₹5 each (ii) Two-third available for allocation to Bidders with an application size of more than ₹1.00 million Up to [●] Equity Shares of face value of ₹5 each C) Retail Portion(4)(5) Not less than [●] Equity Shares of face value of ₹5 each aggregating up to ₹[●] million Pre- and post-Offer Equity Shares Equity Shares outstanding prior to the Offer (as on the date of this Red Herring Prospectus) 56,818,200 Equity Shares of face value of ₹5 each Equity Shares outstanding after the Offer* [●] Equity Shares of face value of ₹5 each Use of Net Proceeds of the Offer See “Objects of the Offer” on page 106 for information about the use of the Net Proceeds of the Offer. Our Company will not receive any proceeds from the Offer for Sale. * To be updated upon finalization of the Offer Price. (1) The Offer has been authorized pursuant to the resolution passed by our Board dated May 6, 2025. The Fresh Issue has been authorized by our Shareholders</w:t>
      </w:r>
    </w:p>
    <w:p>
      <w:r>
        <w:br w:type="page"/>
      </w:r>
    </w:p>
    <w:p>
      <w:pPr>
        <w:pStyle w:val="Heading2"/>
      </w:pPr>
      <w:r>
        <w:t>Page 109</w:t>
      </w:r>
    </w:p>
    <w:p>
      <w:r>
        <w:rPr>
          <w:sz w:val="20"/>
        </w:rPr>
        <w:t>103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 (2) Our Promoter Selling Shareholders have confirmed and authorised their participation in the Offer for Sale as set out below: S. No. Promoter Selling Shareholder Maximum number of Equity Shares offered in the Offer for Sale Aggregate amount of Offer for Sale (₹ in million) Date of consent letter 1. Jose Gutierrez [●] Up to ₹1,528.00 million December 6, 2025 2. Lisa Day [●] Up to ₹422.00 million December 6, 2025 3. David Clark [●] Up to ₹475.00 million December 6, 2025 4. Kristen Obrien [●] Up to ₹475.00 million December 6, 2025 (3) 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 (4) 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r>
        <w:br w:type="page"/>
      </w:r>
    </w:p>
    <w:p>
      <w:pPr>
        <w:pStyle w:val="Heading2"/>
      </w:pPr>
      <w:r>
        <w:t>Page 110</w:t>
      </w:r>
    </w:p>
    <w:p>
      <w:r>
        <w:rPr>
          <w:sz w:val="20"/>
        </w:rPr>
        <w:t>104 (5) 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 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 Institutional Portion and the remaining available Equity Shares, if any, shall be allocated on a proportionate basis. (6) 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Lauren Flores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 For further details including in relation to grounds for rejection of Bids, see “Offer Structure”, “Offer Procedure” and “Terms of the Offer” on pages 417, 420 and 411.</w:t>
      </w:r>
    </w:p>
    <w:p>
      <w:r>
        <w:br w:type="page"/>
      </w:r>
    </w:p>
    <w:p>
      <w:pPr>
        <w:pStyle w:val="Heading2"/>
      </w:pPr>
      <w:r>
        <w:t>Page 111</w:t>
      </w:r>
    </w:p>
    <w:p>
      <w:r>
        <w:rPr>
          <w:sz w:val="20"/>
        </w:rPr>
        <w:t>105 SUMMARY FINANCIAL STATEMENTS 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 (The remainder of the page has intentionally been left blank)</w:t>
      </w:r>
    </w:p>
    <w:p>
      <w:r>
        <w:br w:type="page"/>
      </w:r>
    </w:p>
    <w:p>
      <w:pPr>
        <w:pStyle w:val="Heading2"/>
      </w:pPr>
      <w:r>
        <w:t>Page 112</w:t>
      </w:r>
    </w:p>
    <w:p>
      <w:r>
        <w:rPr>
          <w:sz w:val="20"/>
        </w:rPr>
        <w:t>106 GENERAL INFORMATION Registered Office of our Ortega-Scott Limited 67380, Example Street, New Jeremyshire, 364055, India – 410 501 Maharashtra, India For details of change in our registered office, see “History and Certain Corporate Matters – Changes in our Registered Office” on page 243. Corporate Office of our Ortega-Scott Limited 201, 61569, Example Street, New Brittneyview, 855621, India Maharashtra, India Company registration number and corporate identity number (a) Registration number: 141032 (b) Corporate identity number: U28129PN1979PLC141032 Address of the RoC Our Company is registered with the Registrar of Companies, Maharashtra at Pune, which is situated at the following address: Registrar of Companies, Maharashtra at Pune PCNTDA Green Building Block A 1st and 2nd 688, Example Street, South William, 372107, India – 411 044 Maharashtra, India Board of Directors of our Company The following table sets out the brief details of our Board of Directors as on the date of this Red Herring Prospectus: Name Designation DIN Address Jose Gutierrez Chairman and Executive Director 00135070 S. no. 245/ 104, Pushpakamal, Deccan Gymkhana Society, lane no. 040, Example Street, South Brenda, 999448, India David Clark Managing Director 00114193 12 Buena Monte, NCL co-operative housing society, Panchvati, Pashan, Pune – 411 008, Maharashtra, India Kristen Obrien Joint Managing Director 00134926 Pushpakamal Apartment, Flat – 1, S. no. 245/ 104, Prabhat 6023, Example Street, East Joseph, 883023, India – 411 004, Maharashtra, India Sue Campbell Whole-time Director 03124510 S. no. 245/ 104, Pushpakamal, Deccan Gymkhana Society, lane no. 24070, Example Street, Burgessland, 259258, India Dinesh Hirachand Munot Independent Director 00049801 Pratik Bunglow, Senapati Bapat 865, Example Street, Kirkland, 631913, India – 411 016, Maharashtra, India Ajay Shriram Patil Independent Director 01217000 602, Gopalkrupa Apartment, Bhonde colony, Prabhat 25366, Example Street, Port Danielmouth, 315529, India – 411 004, Maharashtra, India Ram Kumar Tiwari Independent Director 10938958 A-259, JK 9571, Example Street, New Anthonytown, 289486, India</w:t>
      </w:r>
    </w:p>
    <w:p>
      <w:r>
        <w:br w:type="page"/>
      </w:r>
    </w:p>
    <w:p>
      <w:pPr>
        <w:pStyle w:val="Heading2"/>
      </w:pPr>
      <w:r>
        <w:t>Page 113</w:t>
      </w:r>
    </w:p>
    <w:p>
      <w:r>
        <w:rPr>
          <w:sz w:val="20"/>
        </w:rPr>
        <w:t>107 Henry Davis Independent Director 05293084 A29, Abhimanshree Society, Pashan 665, Example Street, East Jessica, 948041, India For brief profiles and further details of our Board of Directors, see “Our Management – Board of Directors” on page 250.</w:t>
      </w:r>
    </w:p>
    <w:p>
      <w:r>
        <w:br w:type="page"/>
      </w:r>
    </w:p>
    <w:p>
      <w:pPr>
        <w:pStyle w:val="Heading2"/>
      </w:pPr>
      <w:r>
        <w:t>Page 114</w:t>
      </w:r>
    </w:p>
    <w:p>
      <w:r>
        <w:rPr>
          <w:sz w:val="20"/>
        </w:rPr>
        <w:t>108 Company Secretary and Compliance Officer Katherine Ruiz is our Company Secretary and Compliance Officer. His contact details are as set forth below: Gat No. 81973, Example Street, Thorntonberg, 524707, India – 410 501 Maharashtra, India Telephone: +91 30 8931 5417 E-mail: myersstephen@example.com Investor grievances 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 receipt of funds by electronic mode, etc. 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 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Gates Inc Limited 801-804, 8363, Example Street, Mirandashire, 679530, India – 400 051 Maharashtra, India Telephone: +91 43 4789 6613 Email: pollardkelly@example.com Website: www.nuvama.com Investor grievance E-mail: kristina78@example.com Contact person: Kristen Gentry/ Charles Carlson SEBI registration no.: Curtis Daniels and Garza Limited ICICI Venture 882, Example Street, Lindseystad, 262173, India – 400 025 Maharashtra, India Telephone: +91 27 7546 7017 Email: iwalker@example.com Website: www.icicisecurities.com Investor grievance E-mail: veronicagonzalez@example.com Contact person: Jason Hunt/Chris Mahoney SEBI registration no.: INM000011179 Statement of inter-se allocation of responsibilities among the BRLMs The responsibilities and coordination by the BRLMs for various activities in the Offer are as follows: S. No. Activities Responsibility Coordinator 1. 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 Capital structuring with the relative components and formalities such as type of instruments, allocation between primary and secondary, etc. BRLMs Nuvama 2. Drafting and approval of statutory advertisements BRLMs Nuvama</w:t>
      </w:r>
    </w:p>
    <w:p>
      <w:r>
        <w:br w:type="page"/>
      </w:r>
    </w:p>
    <w:p>
      <w:pPr>
        <w:pStyle w:val="Heading2"/>
      </w:pPr>
      <w:r>
        <w:t>Page 115</w:t>
      </w:r>
    </w:p>
    <w:p>
      <w:r>
        <w:rPr>
          <w:sz w:val="20"/>
        </w:rPr>
        <w:t>109</w:t>
      </w:r>
    </w:p>
    <w:p>
      <w:r>
        <w:br w:type="page"/>
      </w:r>
    </w:p>
    <w:p>
      <w:pPr>
        <w:pStyle w:val="Heading2"/>
      </w:pPr>
      <w:r>
        <w:t>Page 116</w:t>
      </w:r>
    </w:p>
    <w:p>
      <w:r>
        <w:rPr>
          <w:sz w:val="20"/>
        </w:rPr>
        <w:t>110 S. No. Activities Responsibility Coordinator 3. Drafting and approval of all publicity material other than statutory advertisement as mentioned above including corporate advertising, brochure, etc. and filing of media compliance report with SEBI BRLMs I-Sec 4. Appointment of all other intermediaries (e.g., Registrar(s), Printer(s), Monitoring Agency, Banker(s) to the Issue and Sponsor Banker to the Issue, Advertising agency etc.) including coordinating all agreements to be entered with such parties BRLMs Nuvama 5. Preparation of road show presentation and frequently asked questions BRLMs I-Sec 6. International Institutional Marketing of the Issue, which will cover, inter alia:  Marketing strategy  Finalising the list and division of international investors for one-to-one meetings and  Finalizing road show and investor meeting schedules BRLMs I-Sec 7. Domestic Institutional Marketing of the Issue, which will cover, inter alia:  Finalising the list and division of domestic investors for one-to-one meetings  Finalizing domestic road show schedules and investor meeting schedules BRLMs Nuvama 8. Non-institutional marketing of the Issue, which will cover, inter alia,  Finalising media, marketing and public relations strategy including list of frequently asked questions at non-institutional road shows; and  Finalising centres for holding conferences for brokers, etc.; BRLMs Nuvama 9. Retail Marketing of the Issue, which will cover, inter alia,  Formulating marketing strategies, preparation of publicity budget  Finalizing Media and PR strategy  Finalizing centres for holding conferences for brokers, etc.  Finalizing collection centres; and  Follow-up on distribution of publicity and Issue material including application form, prospectus and deciding on the quantum of the Issue material BRLMs I-Sec 10. Coordination with Stock-Exchanges for book building software, bidding terminals, mock trading, anchor coordination, anchor CAN and intimation of anchor allocation BRLMs I-Sec 11. Managing the book and finalization of pricing in consultation with the Company BRLMs I-Sec 12. 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 Coordinating with Stock Exchanges and SEBI for submission of all post-Issue reports including the initial and final post-Issue report to Jackson Martin and Holmes Limited 801-804, 05999, Example Street, Ericmouth, 575004, India Maharashtra, India Telephone: +91 80 2657 7727 Email: pollardkelly@example.com, stevenmorales@example.com, and creyes@example.com Website: www.nuvama.com Contact Person: Robert Kim Number: Washington-Koch Limited ICICI Venture House</w:t>
      </w:r>
    </w:p>
    <w:p>
      <w:r>
        <w:br w:type="page"/>
      </w:r>
    </w:p>
    <w:p>
      <w:pPr>
        <w:pStyle w:val="Heading2"/>
      </w:pPr>
      <w:r>
        <w:t>Page 117</w:t>
      </w:r>
    </w:p>
    <w:p>
      <w:r>
        <w:rPr>
          <w:sz w:val="20"/>
        </w:rPr>
        <w:t>630, Example Street, South Annside, 606189, India Telephone: +91 27 7546 7017 Email: iwalker@example.com Website: www.icicisecurities.com Investor grievance E-mail: veronicagonzalez@example.com Contact person: Jason Hunt/Chris Mahoney</w:t>
      </w:r>
    </w:p>
    <w:p>
      <w:r>
        <w:br w:type="page"/>
      </w:r>
    </w:p>
    <w:p>
      <w:pPr>
        <w:pStyle w:val="Heading2"/>
      </w:pPr>
      <w:r>
        <w:t>Page 118</w:t>
      </w:r>
    </w:p>
    <w:p>
      <w:r>
        <w:rPr>
          <w:sz w:val="20"/>
        </w:rPr>
        <w:t>112 SEBI registration no.: INM000011179 Legal Counsel to our Company as to Indian Law Beltran and Sons Limited One World Centre 10th Floor, Tower 2A &amp; 2B Senapati Bapat 7604, Example Street, New Brandi, 456531, India – 400 013 Maharashtra, India Email: jessica39@example.com Telephone: +91 24 3807 6888 Registrar to the Offer Lozano Group Private Limited (Sanchez PLC Private Limited) C-101, Embassy 247 1st 72535, Example Street, East Davidfurt, 601366, India, (Maharashtra), India Telephone: +91 42 7308 7055 E-mail: danieldana@example.com Investor grievance E-mail: danieldana@example.com Website: www.in.mpms.mufg.com Contact Person: Rebecca Lindsey No.: INR000004058 URL of SEBI website: www.sebi.gov.in/sebiweb/other/OtherAction.do?doRecognisedFpi=yes&amp;intmId=10 CIN: U67190MH1999PTC118368 Bankers to the Offer Escrow Collection Bank Lopez Bank Limited Lopez Bank Limited, FIG-OPS Department – Lodha I Think Techno Campus, O-5831, Example Street, South Robertborough, 718920,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Public Offer Account Bank Dominguez Bank Limited Capital Market Division 163, 5th 9243, Example Street, New Randyview, 876335, India – 400020 Telephone: 022-68052182 Email: martinezbrian@example.com Website: www.icicibank.com Contact Person: Sherry Rogers No: INBI00000004 CIN: L65190GJ1994PLC021012</w:t>
      </w:r>
    </w:p>
    <w:p>
      <w:r>
        <w:br w:type="page"/>
      </w:r>
    </w:p>
    <w:p>
      <w:pPr>
        <w:pStyle w:val="Heading2"/>
      </w:pPr>
      <w:r>
        <w:t>Page 119</w:t>
      </w:r>
    </w:p>
    <w:p>
      <w:r>
        <w:rPr>
          <w:sz w:val="20"/>
        </w:rPr>
        <w:t>Williamson Bank Limited, FIG-OPS Department – Lodha I Think Techno Campus, O-5831, Example Street, South Robertborough, 718920,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Smith Bank Limited Capital Market Division 163, 5th 9243, Example Street, New Randyview, 876335, India – 400020 Telephone: 022-68052182 Email: martinezbrian@example.com Website: www.icicibank.com Contact Person: Sherry Rogers No: INBI00000004 CIN: Norris Bank Limited, FIG-OPS Department – Lodha I Think Techno Campus, O-5831, Example Street, South Robertborough, 718920, India Telephone: +91 13 5599 1047, +91 58 3795 5971 and +91 10 9262 8973 Email: tammy38@example.com, lisa99@example.com fredmiller@example.com, nicholaswalker@example.com, and julieanderson@example.com Website: www.hdfcbank.com Contact Person: Justin Jones/ Cynthia Meyer/ Danielle Mcclain/ Shane Guerra/ Bailey Silva SEBI Registration No: INBI00000063 CIN: L65920MH1994PLC080618 Designated Intermediaries Self-Certified Syndicate Banks 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 Eligible SCSBs and mobile applications enabled for UPI Mechanism 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r>
        <w:br w:type="page"/>
      </w:r>
    </w:p>
    <w:p>
      <w:pPr>
        <w:pStyle w:val="Heading2"/>
      </w:pPr>
      <w:r>
        <w:t>Page 120</w:t>
      </w:r>
    </w:p>
    <w:p>
      <w:r>
        <w:rPr>
          <w:sz w:val="20"/>
        </w:rPr>
        <w:t>Syndicate SCSB Branches 114 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 Registered Brokers 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 Registrar and Share Transfer Agents 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 Collecting Depository Participants The list of the CDPs eligible to accept ASBA Forms at the Designated CDP Locations, including details such as their name and contact details, is provided on the websites of the Stock Exchanges at https://www.bseindia.com/Static/PublicIssues/RtaDp.aspx and https://www.nseindia.com/products/content/equities/ipos/asba_procedures.htm, respectively, as updated from time to time. Experts Except as stated below, our Company has not obtained any expert opinions: Our Company has received the written consent dated November 27, 2025 from our Statutory Auditors, Baxter &amp; Steele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 Our Company has received written consent dated November 27, 2025 from Tyler Thornton,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 Our Company has received written consent dated December 10, 2025 from Kanj &amp; Payne &amp; Moran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r>
        <w:br w:type="page"/>
      </w:r>
    </w:p>
    <w:p>
      <w:pPr>
        <w:pStyle w:val="Heading2"/>
      </w:pPr>
      <w:r>
        <w:t>Page 121</w:t>
      </w:r>
    </w:p>
    <w:p>
      <w:r>
        <w:rPr>
          <w:sz w:val="20"/>
        </w:rPr>
        <w:t>115 Statutory Auditors to our Company Baxter &amp; Steele LLP, Chartered Accountants 5th 29578, Example Street, East Christopher, 247568, India – 411 038 Maharashtra, India E-mail: barry67@example.com Telephone: + 91 (20) 6729 5100 Firm registration number: 105215W/ W100057 Peer review number: 014680 Changes in Auditors Except as stated below, there has been no change in our statutory auditors in the three years preceding the date of this Red Herring Prospectus: Particulars Date of change Reasons for change Baxter &amp; Steele LLP, Chartered Accountants 5th 19272, Example Street, Hendricksport, 302918, India – 411 038 Maharashtra, India E-mail: barry67@example.com Telephone: +91 24 5872 3997 Firm registration number: 105215W/ W100057 Peer review number: 014680 September 30, 2024 Appointment as the Statutory Auditors of our Company Valentine-Middleton Limited Flat No . 102 , Sai ComplSeptember 30, 2024 Expiry of term as the statutory auditors of our Company</w:t>
      </w:r>
    </w:p>
    <w:p>
      <w:r>
        <w:br w:type="page"/>
      </w:r>
    </w:p>
    <w:p>
      <w:pPr>
        <w:pStyle w:val="Heading2"/>
      </w:pPr>
      <w:r>
        <w:t>Page 122</w:t>
      </w:r>
    </w:p>
    <w:p>
      <w:r>
        <w:rPr>
          <w:sz w:val="20"/>
        </w:rPr>
        <w:t>116 ex Shaniwar Peth , Pune – 411 030 Maharashtra , India E-mail: derickson@example.com Firm registration number: 116417W Peer review number: N.A. Bankers to our Company Sullivan Bank Limited N.A. 8th 989, Example Street, Hallmouth, 460707, India – 411 001 Maharashtra, India Telephone: +91 27 6893 4038 Contact Person: Angel Fuller: http://commercialbanking.Sullivan Bank Limited.com Email: dbailey@example.com Harrison Bank Limited No. 401, 401(A), 401(B) &amp; 402, 402(A), 402(B), 4th 92775, Example Street, Williamshaven, 647841, India – 411 004 Maharashtra, India Telephone: +91 86 6566 3884 Contact Person: Patricia Mccoy: www.eximbankindia.in/ Email: juanwilson@example.com King Bank Limited 45178, Example Street, East Ericshire, 338045, India Telephone: +91 92 5847 8913 Contact Person: Christy Graham MD: www.indusind.com/ Email: sherri93@example.com</w:t>
      </w:r>
    </w:p>
    <w:p>
      <w:r>
        <w:br w:type="page"/>
      </w:r>
    </w:p>
    <w:p>
      <w:pPr>
        <w:pStyle w:val="Heading2"/>
      </w:pPr>
      <w:r>
        <w:t>Page 123</w:t>
      </w:r>
    </w:p>
    <w:p>
      <w:r>
        <w:rPr>
          <w:sz w:val="20"/>
        </w:rPr>
        <w:t>117 Dominguez Bank Limited ICICI Bank, CBG, 3rd 32532, Example Street, Millerborough, 138392, India – 411 001 Maharashtra, India Telephone: +91 58 8144 9907 Contact Person: Jason French: www.icicibank.com Email: cherag.gyara @icicibank.com</w:t>
      </w:r>
    </w:p>
    <w:p>
      <w:r>
        <w:br w:type="page"/>
      </w:r>
    </w:p>
    <w:p>
      <w:pPr>
        <w:pStyle w:val="Heading2"/>
      </w:pPr>
      <w:r>
        <w:t>Page 124</w:t>
      </w:r>
    </w:p>
    <w:p>
      <w:r>
        <w:rPr>
          <w:sz w:val="20"/>
        </w:rPr>
        <w:t>118 Lopez Bank Limited 5th 46486, Example Street, New Michaelport, 204341, India – 411 001 Maharashtra, India Telephone: +91 80 8835 6558 Contact Person: Isaac Vazquez: www.hdfcbank.com Email: rothjoel@example.com Cline Bank Limited, Industrial Finance Branch Tara Chambers, Mumbai-Pune 897, Example Street, Lisaport, 198563, India – 411 003 Maharashtra, India Telephone: +91 46 6246 6271 Contact Person: Jasmine Hill: www.sbi.co.in Email: tinajennings@example.com Turner Bank Limited Ground 31219, Example Street, Rodriguezmouth, 781789, India – 41l 005 Maharashtra, India Telephone: +91 61 3806 8910 Contact Person: Jennifer Parker: www.federalbank.co.in Email: natasha91@example.com Moore Inc Limited The Capital Unit no. 1601, B- 21014, Example Street, Mcdonaldport, 898703, India Telephone: +91 25 6877 9161 Contact Person: Steven Smith: www.bajajfinance.com Email: paul83@example.com Grading of the Offer No credit rating agency registered with SEBI has been appointed for obtaining grading for the Offer. Appraising Entity No appraising entity has been appointed in relation to the Offer. Monitoring Agency As the size of the Fresh Issue exceeds ₹1,000.00 million, our Company has appointed a credit rating agency registered with SEBI, namely, Lopez Group Limited, as a monitoring agency to monitor the utilisation of the Net Proceeds, in accordance with Regulation 41 of the SEBI ICDR Regulations. For details in relation to the proposed utilisation of the Net Proceeds, see “Objects of the Offer” on page 106. Credit Rating As the Offer is of Equity Shares, credit rating is not required. Debenture Trustee As the Offer is of Equity Shares, the appointment of trustee is not required. Green Shoe Option No green shoe option is contemplated under the Offer. Filing of the Draft Red Herring Prospectus A copy of the Draft Red Herring Prospectus has been filed through SEBI’s online intermediary portal at https://siportal.sebi.gov.in, as specified in Regulation 25(8) of the SEBI ICDR Regulations and in accordance with SEBI ICDR Master Circular. It has also been filed at: Securities and Exchange Board of Brown Kelley and Clayton Limited Finance Department Division of Issues and Listing SEBI Bhavan, Plot No. C4 A, ‘G’ Block Bandra Kurla 34747, Example Street, Millerport, 620423, India – 400 051, Maharashtra, India Filing of this Red Herring Prospectus and Prospectus 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r>
        <w:br w:type="page"/>
      </w:r>
    </w:p>
    <w:p>
      <w:pPr>
        <w:pStyle w:val="Heading2"/>
      </w:pPr>
      <w:r>
        <w:t>Page 125</w:t>
      </w:r>
    </w:p>
    <w:p>
      <w:r>
        <w:rPr>
          <w:sz w:val="20"/>
        </w:rPr>
        <w:t>119 Book Building Process 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 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 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For further details, see “Terms of the Offer” and “Offer Procedure” on pages 411 and 420, respectively. 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 The Book Building Process under the SEBI ICDR Regulations and the Bidding process are subject to change from time to time, and the Bidders are advised to make their own judgment about investment through the aforesaid processes prior to submitting a Bid in the Offer. Bidders should note that the Offer is also subject to (i) filing of the Prospectus by our Company with the RoC; and (ii) our Company obtaining final listing and trading approvals from the Stock Exchanges, which our Company shall apply for after Allotment. For further details on the method and procedure for Bidding, see “Offer Procedure” and “Offer Structure” on pages 420 and 417, respectively. Underwriting Agreement 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 The Underwriting Agreement is dated [●]. The Underwriters have indicated their intention to underwrite the following number of Equity Shares: (The Underwriting Agreement has not been executed as on the date of this Red Herring Prospectus. This portion has been intentionally left blank and will be filled in before filing of the Prospectus with the RoC)</w:t>
      </w:r>
    </w:p>
    <w:p>
      <w:r>
        <w:br w:type="page"/>
      </w:r>
    </w:p>
    <w:p>
      <w:pPr>
        <w:pStyle w:val="Heading2"/>
      </w:pPr>
      <w:r>
        <w:t>Page 126</w:t>
      </w:r>
    </w:p>
    <w:p>
      <w:r>
        <w:rPr>
          <w:sz w:val="20"/>
        </w:rPr>
        <w:t>120 Name, address, telephone and e- mail address of the Underwriters Indicative Number of Equity Shares of face value of ₹5 each to be Underwritten Amount Underwritten (₹ in million ) [●] [●] [●] [●] [●] [●] The above-mentioned underwriting commitment is indicative and will be finalized after determination of the Offer Price and Basis of Allotment and will be subject to Regulation 40(3) of the SEBI ICDR Regulations. 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 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r>
        <w:br w:type="page"/>
      </w:r>
    </w:p>
    <w:p>
      <w:pPr>
        <w:pStyle w:val="Heading2"/>
      </w:pPr>
      <w:r>
        <w:t>Page 127</w:t>
      </w:r>
    </w:p>
    <w:p>
      <w:r>
        <w:rPr>
          <w:sz w:val="20"/>
        </w:rPr>
        <w:t>121 CAPITAL STRUCTURE The share capital of our Company, as on the date of this Red Herring Prospectus, is set forth below: (in ₹, except share data) S. No. Particulars Aggregate nominal value Aggregate value at Offer Price* A) AUTHORISED SHARE CAPITAL(1) Equity Shares comprising: [●] 80,000,000 Equity Shares of face value of ₹5 each 400,000,000 [●] B) ISSUED, SUBSCRIBED AND PAID-UP SHARE CAPITAL BEFORE THE OFFER 56,818,200 Equity Shares of face value of ₹5 each 284,091,000 [●] C) PRESENT OFFER(2) Offer of up to [●] Equity Shares of face value of ₹5 each aggregating up to ₹7,100.00 million (3) [●] [●] Of which Fresh Issue of up to [●] Equity Shares of face value of ₹5 each aggregating up to ₹4,200.00 million [●] [●] Offer for Sale of up to [●] Equity Shares of face value of ₹5 each aggregating up to ₹2,900.00 million(3) [●] [●] E) ISSUED, SUBSCRIBED AND PAID-UP SHARE CAPITAL AFTER THE OFFER* [●] Equity Shares of face value of ₹5 each [●] [●] F) SECURITIES PREMIUM ACCOUNT Before the Offer 0.00 After the Offer* [●] * To be updated upon finalisation of the Offer Price, and subject to Basis of Allotment. (1) For details in relation to the changes in the authorised share capital of our Company in the last 10 years, see “History and Certain Corporate Matters – Amendments to our Memorandum of Association in the last 10 years” on page 244. (2)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r>
        <w:br w:type="page"/>
      </w:r>
    </w:p>
    <w:p>
      <w:pPr>
        <w:pStyle w:val="Heading2"/>
      </w:pPr>
      <w:r>
        <w:t>Page 128</w:t>
      </w:r>
    </w:p>
    <w:p>
      <w:r>
        <w:rPr>
          <w:sz w:val="20"/>
        </w:rPr>
        <w:t>122 (3)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r>
        <w:br w:type="page"/>
      </w:r>
    </w:p>
    <w:p>
      <w:pPr>
        <w:pStyle w:val="Heading2"/>
      </w:pPr>
      <w:r>
        <w:t>Page 129</w:t>
      </w:r>
    </w:p>
    <w:p>
      <w:r>
        <w:rPr>
          <w:sz w:val="20"/>
        </w:rPr>
        <w:t>123</w:t>
      </w:r>
    </w:p>
    <w:p>
      <w:r>
        <w:br w:type="page"/>
      </w:r>
    </w:p>
    <w:p>
      <w:pPr>
        <w:pStyle w:val="Heading2"/>
      </w:pPr>
      <w:r>
        <w:t>Page 130</w:t>
      </w:r>
    </w:p>
    <w:p>
      <w:r>
        <w:rPr>
          <w:sz w:val="20"/>
        </w:rPr>
        <w:t>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