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诊断报告 — baseline_1.csv</w:t>
      </w:r>
    </w:p>
    <w:p>
      <w:r>
        <w:t>生成时间: 2026-09-07 07:03 UTC  •  信号: baseline_1.csv</w:t>
      </w:r>
    </w:p>
    <w:p>
      <w:pPr>
        <w:pStyle w:val="Heading1"/>
      </w:pPr>
      <w:r>
        <w:t>统计摘要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rms</w:t>
            </w:r>
          </w:p>
        </w:tc>
        <w:tc>
          <w:tcPr>
            <w:tcW w:type="dxa" w:w="4320"/>
          </w:tcPr>
          <w:p>
            <w:r>
              <w:t>0.890242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r>
              <w:t>3.01357</w:t>
            </w:r>
          </w:p>
        </w:tc>
      </w:tr>
      <w:tr>
        <w:tc>
          <w:tcPr>
            <w:tcW w:type="dxa" w:w="4320"/>
          </w:tcPr>
          <w:p>
            <w:r>
              <w:t>peak_to_peak</w:t>
            </w:r>
          </w:p>
        </w:tc>
        <w:tc>
          <w:tcPr>
            <w:tcW w:type="dxa" w:w="4320"/>
          </w:tcPr>
          <w:p>
            <w:r>
              <w:t>8.35878</w:t>
            </w:r>
          </w:p>
        </w:tc>
      </w:tr>
    </w:tbl>
    <w:p>
      <w:pPr>
        <w:pStyle w:val="Heading1"/>
      </w:pPr>
      <w:r>
        <w:t>FFT频谱 — 主要峰值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频率 (Hz)</w:t>
            </w:r>
          </w:p>
        </w:tc>
        <w:tc>
          <w:tcPr>
            <w:tcW w:type="dxa" w:w="2880"/>
          </w:tcPr>
          <w:p>
            <w:r>
              <w:t>幅值 (dB)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1375.00</w:t>
            </w:r>
          </w:p>
        </w:tc>
        <w:tc>
          <w:tcPr>
            <w:tcW w:type="dxa" w:w="2880"/>
          </w:tcPr>
          <w:p>
            <w:r>
              <w:t>-68.6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1400.00</w:t>
            </w:r>
          </w:p>
        </w:tc>
        <w:tc>
          <w:tcPr>
            <w:tcW w:type="dxa" w:w="2880"/>
          </w:tcPr>
          <w:p>
            <w:r>
              <w:t>-69.3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1350.00</w:t>
            </w:r>
          </w:p>
        </w:tc>
        <w:tc>
          <w:tcPr>
            <w:tcW w:type="dxa" w:w="2880"/>
          </w:tcPr>
          <w:p>
            <w:r>
              <w:t>-69.4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1425.00</w:t>
            </w:r>
          </w:p>
        </w:tc>
        <w:tc>
          <w:tcPr>
            <w:tcW w:type="dxa" w:w="2880"/>
          </w:tcPr>
          <w:p>
            <w:r>
              <w:t>-69.8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3725.00</w:t>
            </w:r>
          </w:p>
        </w:tc>
        <w:tc>
          <w:tcPr>
            <w:tcW w:type="dxa" w:w="2880"/>
          </w:tcPr>
          <w:p>
            <w:r>
              <w:t>-70.3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3750.00</w:t>
            </w:r>
          </w:p>
        </w:tc>
        <w:tc>
          <w:tcPr>
            <w:tcW w:type="dxa" w:w="2880"/>
          </w:tcPr>
          <w:p>
            <w:r>
              <w:t>-70.4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3775.00</w:t>
            </w:r>
          </w:p>
        </w:tc>
        <w:tc>
          <w:tcPr>
            <w:tcW w:type="dxa" w:w="2880"/>
          </w:tcPr>
          <w:p>
            <w:r>
              <w:t>-71.0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3700.00</w:t>
            </w:r>
          </w:p>
        </w:tc>
        <w:tc>
          <w:tcPr>
            <w:tcW w:type="dxa" w:w="2880"/>
          </w:tcPr>
          <w:p>
            <w:r>
              <w:t>-71.0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1600.00</w:t>
            </w:r>
          </w:p>
        </w:tc>
        <w:tc>
          <w:tcPr>
            <w:tcW w:type="dxa" w:w="2880"/>
          </w:tcPr>
          <w:p>
            <w:r>
              <w:t>-71.8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1625.00</w:t>
            </w:r>
          </w:p>
        </w:tc>
        <w:tc>
          <w:tcPr>
            <w:tcW w:type="dxa" w:w="2880"/>
          </w:tcPr>
          <w:p>
            <w:r>
              <w:t>-71.9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包络分析 — 主要峰值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频率 (Hz)</w:t>
            </w:r>
          </w:p>
        </w:tc>
        <w:tc>
          <w:tcPr>
            <w:tcW w:type="dxa" w:w="2880"/>
          </w:tcPr>
          <w:p>
            <w:r>
              <w:t>幅值 (dB)</w:t>
            </w:r>
          </w:p>
        </w:tc>
        <w:tc>
          <w:tcPr>
            <w:tcW w:type="dxa" w:w="2880"/>
          </w:tcPr>
          <w:p>
            <w:r>
              <w:t>轴承匹配</w:t>
            </w:r>
          </w:p>
        </w:tc>
      </w:tr>
      <w:tr>
        <w:tc>
          <w:tcPr>
            <w:tcW w:type="dxa" w:w="2880"/>
          </w:tcPr>
          <w:p>
            <w:r>
              <w:t>106.32</w:t>
            </w:r>
          </w:p>
        </w:tc>
        <w:tc>
          <w:tcPr>
            <w:tcW w:type="dxa" w:w="2880"/>
          </w:tcPr>
          <w:p>
            <w:r>
              <w:t>-20.0</w:t>
            </w:r>
          </w:p>
        </w:tc>
        <w:tc>
          <w:tcPr>
            <w:tcW w:type="dxa" w:w="2880"/>
          </w:tcPr>
          <w:p>
            <w:r>
              <w:t>BPFO</w:t>
            </w:r>
          </w:p>
        </w:tc>
      </w:tr>
    </w:tbl>
    <w:p>
      <w:pPr>
        <w:pStyle w:val="Heading1"/>
      </w:pPr>
      <w:r>
        <w:t>轴承特征频率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频率</w:t>
            </w:r>
          </w:p>
        </w:tc>
        <w:tc>
          <w:tcPr>
            <w:tcW w:type="dxa" w:w="4320"/>
          </w:tcPr>
          <w:p>
            <w:r>
              <w:t>值 (Hz)</w:t>
            </w:r>
          </w:p>
        </w:tc>
      </w:tr>
      <w:tr>
        <w:tc>
          <w:tcPr>
            <w:tcW w:type="dxa" w:w="4320"/>
          </w:tcPr>
          <w:p>
            <w:r>
              <w:t>BPFO</w:t>
            </w:r>
          </w:p>
        </w:tc>
        <w:tc>
          <w:tcPr>
            <w:tcW w:type="dxa" w:w="4320"/>
          </w:tcPr>
          <w:p>
            <w:r>
              <w:t>106.32</w:t>
            </w:r>
          </w:p>
        </w:tc>
      </w:tr>
      <w:tr>
        <w:tc>
          <w:tcPr>
            <w:tcW w:type="dxa" w:w="4320"/>
          </w:tcPr>
          <w:p>
            <w:r>
              <w:t>BPFI</w:t>
            </w:r>
          </w:p>
        </w:tc>
        <w:tc>
          <w:tcPr>
            <w:tcW w:type="dxa" w:w="4320"/>
          </w:tcPr>
          <w:p>
            <w:r>
              <w:t>160.68</w:t>
            </w:r>
          </w:p>
        </w:tc>
      </w:tr>
      <w:tr>
        <w:tc>
          <w:tcPr>
            <w:tcW w:type="dxa" w:w="4320"/>
          </w:tcPr>
          <w:p>
            <w:r>
              <w:t>BSF</w:t>
            </w:r>
          </w:p>
        </w:tc>
        <w:tc>
          <w:tcPr>
            <w:tcW w:type="dxa" w:w="4320"/>
          </w:tcPr>
          <w:p>
            <w:r>
              <w:t>69.84</w:t>
            </w:r>
          </w:p>
        </w:tc>
      </w:tr>
      <w:tr>
        <w:tc>
          <w:tcPr>
            <w:tcW w:type="dxa" w:w="4320"/>
          </w:tcPr>
          <w:p>
            <w:r>
              <w:t>FTF</w:t>
            </w:r>
          </w:p>
        </w:tc>
        <w:tc>
          <w:tcPr>
            <w:tcW w:type="dxa" w:w="4320"/>
          </w:tcPr>
          <w:p>
            <w:r>
              <w:t>11.81</w:t>
            </w:r>
          </w:p>
        </w:tc>
      </w:tr>
      <w:tr>
        <w:tc>
          <w:tcPr>
            <w:tcW w:type="dxa" w:w="4320"/>
          </w:tcPr>
          <w:p>
            <w:r>
              <w:t>shaft_freq_hz</w:t>
            </w:r>
          </w:p>
        </w:tc>
        <w:tc>
          <w:tcPr>
            <w:tcW w:type="dxa" w:w="4320"/>
          </w:tcPr>
          <w:p>
            <w:r>
              <w:t>29.67</w:t>
            </w:r>
          </w:p>
        </w:tc>
      </w:tr>
      <w:tr>
        <w:tc>
          <w:tcPr>
            <w:tcW w:type="dxa" w:w="4320"/>
          </w:tcPr>
          <w:p>
            <w:r>
              <w:t>input_parameters</w:t>
            </w:r>
          </w:p>
        </w:tc>
        <w:tc>
          <w:tcPr>
            <w:tcW w:type="dxa" w:w="4320"/>
          </w:tcPr>
          <w:p>
            <w:r>
              <w:t>{'num_balls': 9, 'ball_diameter_mm': 7.94, 'pitch_diameter_mm': 39.0, 'contact_angle_deg': 0.0, 'shaft_speed_rpm': 1780.0}</w:t>
            </w:r>
          </w:p>
        </w:tc>
      </w:tr>
    </w:tbl>
    <w:p>
      <w:pPr>
        <w:pStyle w:val="Heading1"/>
      </w:pPr>
      <w:r>
        <w:t>ISO 20816-3 评估</w:t>
      </w:r>
    </w:p>
    <w:p>
      <w:r>
        <w:rPr>
          <w:b/>
        </w:rPr>
        <w:t>评估区域 C</w:t>
      </w:r>
      <w:r>
        <w:t xml:space="preserve">  —  不满意  (均方根速度: 0.000 mm/s)</w:t>
      </w:r>
    </w:p>
    <w:p>
      <w:pPr>
        <w:pStyle w:val="Heading1"/>
      </w:pPr>
      <w:r>
        <w:t>诊断摘要</w:t>
      </w:r>
    </w:p>
    <w:p>
      <w:r>
        <w:t>机器状态 - 区域 C (不满意).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