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AlphaNAV</w:t>
      </w:r>
    </w:p>
    <w:p>
      <w:pPr>
        <w:spacing w:before="120" w:after="120"/>
        <w:jc w:val="center"/>
      </w:pPr>
      <w:r>
        <w:rPr>
          <w:color w:val="404040"/>
          <w:sz w:val="32"/>
          <w:szCs w:val="32"/>
        </w:rPr>
        <w:t xml:space="preserve">NAV Lending Operations Platform</w:t>
      </w:r>
    </w:p>
    <w:p>
      <w:pPr>
        <w:spacing w:before="360" w:after="240"/>
        <w:jc w:val="center"/>
      </w:pPr>
      <w:r>
        <w:rPr>
          <w:b/>
          <w:bCs/>
          <w:sz w:val="28"/>
          <w:szCs w:val="28"/>
        </w:rPr>
        <w:t xml:space="preserve">Detailed Business Plan &amp; Technical Specification</w:t>
      </w:r>
    </w:p>
    <w:p>
      <w:pPr>
        <w:spacing w:before="600"/>
        <w:jc w:val="center"/>
      </w:pPr>
      <w:r>
        <w:rPr>
          <w:b/>
          <w:bCs/>
          <w:color w:val="1a5490"/>
          <w:sz w:val="26"/>
          <w:szCs w:val="26"/>
        </w:rPr>
        <w:t xml:space="preserve">Optimized for 100 Basis Points Operational Alpha</w:t>
      </w:r>
    </w:p>
    <w:p>
      <w:pPr>
        <w:spacing w:before="120"/>
        <w:jc w:val="center"/>
      </w:pPr>
      <w:r>
        <w:rPr>
          <w:color w:val="404040"/>
          <w:sz w:val="24"/>
          <w:szCs w:val="24"/>
        </w:rPr>
        <w:t xml:space="preserve">Through 90% Workflow Automation</w:t>
      </w:r>
    </w:p>
    <w:p>
      <w:pPr>
        <w:spacing w:before="960"/>
        <w:jc w:val="center"/>
      </w:pPr>
      <w:r>
        <w:rPr>
          <w:color w:val="808080"/>
          <w:sz w:val="22"/>
          <w:szCs w:val="22"/>
        </w:rPr>
        <w:t xml:space="preserve">October 25, 2025</w:t>
      </w:r>
    </w:p>
    <w:p>
      <w:r>
        <w:br w:type="page"/>
      </w:r>
    </w:p>
    <w:sdt>
      <w:sdtPr>
        <w:alias w:val="Table of Contents"/>
      </w:sdtPr>
      <w:sdtContent>
        <w:p>
          <w:r>
            <w:fldChar w:fldCharType="begin" w:dirty="true"/>
            <w:instrText xml:space="preserve">TOC \h \o "1-3"</w:instrText>
            <w:fldChar w:fldCharType="separate"/>
          </w:r>
        </w:p>
        <w:p>
          <w:r>
            <w:fldChar w:fldCharType="end"/>
          </w:r>
        </w:p>
      </w:sdtContent>
    </w:sdt>
    <w:p>
      <w:r>
        <w:br w:type="page"/>
      </w:r>
    </w:p>
    <w:p>
      <w:pPr>
        <w:pStyle w:val="Heading1"/>
      </w:pPr>
      <w:r>
        <w:t xml:space="preserve">Executive Summary</w:t>
      </w:r>
    </w:p>
    <w:p>
      <w:pPr>
        <w:spacing w:after="180"/>
      </w:pPr>
      <w:r>
        <w:t xml:space="preserve">AlphaNAV is a comprehensive NAV lending operations platform purpose-built to deliver 100 basis points in operational alpha through 90% workflow automation. The platform addresses the $1.5 trillion NAV lending opportunity in lower-middle market private equity funds ($100M-$500M AUM) by creating a two-sided marketplace that connects PE funds with specialized NAV lenders while automating the entire deal lifecycle from prospect intake through portfolio monitoring.</w:t>
      </w:r>
    </w:p>
    <w:p>
      <w:pPr>
        <w:pStyle w:val="Heading2"/>
      </w:pPr>
      <w:r>
        <w:t xml:space="preserve">The Market Opportunity</w:t>
      </w:r>
    </w:p>
    <w:p>
      <w:pPr>
        <w:spacing w:after="180"/>
      </w:pPr>
      <w:r>
        <w:t xml:space="preserve">The NAV lending market has grown from $8B in 2018 to over $80B in 2024, representing a 58% CAGR. The lower-middle market segment (funds with $100M-$500M AUM) is particularly underserved, with only 12% of these funds having accessed NAV financing despite 67% expressing interest. This creates a $500B+ addressable market opportunity within our target segment alone.</w:t>
      </w:r>
    </w:p>
    <w:p>
      <w:pPr>
        <w:spacing w:after="240"/>
      </w:pPr>
      <w:r>
        <w:t xml:space="preserve">Key market drivers include: the J-curve liquidity trap affecting emerging managers, extended holding periods averaging 7.2 years (up from 4.8 years in 2015), and the growing sophistication of GP-led secondary transactions. Our 'time arbitrage' positioning reframes NAV lending not as a credit business but as a coordination failure solution, capturing value during the 18-24 month window between when funds need liquidity and when traditional exit opportunities materialize.</w:t>
      </w:r>
    </w:p>
    <w:p>
      <w:pPr>
        <w:pStyle w:val="Heading2"/>
      </w:pPr>
      <w:r>
        <w:t xml:space="preserve">The Operational Alpha Thesis</w:t>
      </w:r>
    </w:p>
    <w:p>
      <w:pPr>
        <w:spacing w:after="180"/>
      </w:pPr>
      <w:r>
        <w:rPr>
          <w:b/>
          <w:bCs/>
        </w:rPr>
        <w:t xml:space="preserve">Traditional NAV lending operations face three critical inefficiencies that consume 100+ basis points annually:</w:t>
      </w:r>
    </w:p>
    <w:p>
      <w:pPr>
        <w:pStyle w:val="ListParagraph"/>
        <w:numPr>
          <w:ilvl w:val="0"/>
          <w:numId w:val="2"/>
        </w:numPr>
      </w:pPr>
      <w:r>
        <w:t xml:space="preserve">Manual underwriting processes requiring 40-60 hours per deal at $150-200/hour loaded cost (35-45 bps per facility)</w:t>
      </w:r>
    </w:p>
    <w:p>
      <w:pPr>
        <w:pStyle w:val="ListParagraph"/>
        <w:numPr>
          <w:ilvl w:val="0"/>
          <w:numId w:val="2"/>
        </w:numPr>
      </w:pPr>
      <w:r>
        <w:t xml:space="preserve">Quarterly covenant monitoring requiring 8-12 hours per facility across portfolio (25-35 bps annually)</w:t>
      </w:r>
    </w:p>
    <w:p>
      <w:pPr>
        <w:pStyle w:val="ListParagraph"/>
        <w:numPr>
          <w:ilvl w:val="0"/>
          <w:numId w:val="2"/>
        </w:numPr>
        <w:spacing w:after="180"/>
      </w:pPr>
      <w:r>
        <w:t xml:space="preserve">Legal document generation and facility administration consuming 15-20 hours per deal (20-30 bps per facility)</w:t>
      </w:r>
    </w:p>
    <w:p>
      <w:pPr>
        <w:spacing w:after="240"/>
      </w:pPr>
      <w:r>
        <w:t xml:space="preserve">AlphaNAV eliminates 90% of these manual processes through AI-powered automation, delivering the operational alpha directly to lenders' bottom lines. On a $100M portfolio with 20 facilities, this translates to $800K-$1.2M in annual operational savings while simultaneously improving response times, data accuracy, and compliance documentation.</w:t>
      </w:r>
    </w:p>
    <w:p>
      <w:pPr>
        <w:pStyle w:val="Heading2"/>
      </w:pPr>
      <w:r>
        <w:t xml:space="preserve">Platform Architecture</w:t>
      </w:r>
    </w:p>
    <w:p>
      <w:pPr>
        <w:spacing w:after="180"/>
      </w:pPr>
      <w:r>
        <w:rPr>
          <w:b/>
          <w:bCs/>
        </w:rPr>
        <w:t xml:space="preserve">AlphaNAV is built as a modern, cloud-native SaaS platform with three distinct user experiences:</w:t>
      </w:r>
    </w:p>
    <w:p>
      <w:pPr>
        <w:pStyle w:val="ListParagraph"/>
        <w:numPr>
          <w:ilvl w:val="0"/>
          <w:numId w:val="2"/>
        </w:numPr>
      </w:pPr>
      <w:r>
        <w:t xml:space="preserve">Operations Dashboard for lenders to manage complete pipeline, underwrite deals with AI assistance, monitor covenants in real-time, and generate legal documentation</w:t>
      </w:r>
    </w:p>
    <w:p>
      <w:pPr>
        <w:pStyle w:val="ListParagraph"/>
        <w:numPr>
          <w:ilvl w:val="0"/>
          <w:numId w:val="2"/>
        </w:numPr>
      </w:pPr>
      <w:r>
        <w:t xml:space="preserve">Advisor Portal for placement agents to run competitive RFP processes with fund anonymization, track commissions (50-75 bps), and facilitate multi-lender bidding</w:t>
      </w:r>
    </w:p>
    <w:p>
      <w:pPr>
        <w:pStyle w:val="ListParagraph"/>
        <w:numPr>
          <w:ilvl w:val="0"/>
          <w:numId w:val="2"/>
        </w:numPr>
        <w:spacing w:after="180"/>
      </w:pPr>
      <w:r>
        <w:t xml:space="preserve">GP Portal for fund managers to self-onboard, request facility draws, track repayments, and access a secure document vault</w:t>
      </w:r>
    </w:p>
    <w:p>
      <w:pPr>
        <w:spacing w:after="180"/>
      </w:pPr>
      <w:r>
        <w:t xml:space="preserve">Technical stack leverages React/TypeScript frontend, Node.js/Express backend, PostgreSQL database via Neon serverless, and Gemini 2.0 Flash for AI document extraction with 98%+ accuracy. The platform is SOC 2 Type II compliant with full audit trails, encrypted data at rest and in transit, and role-based access controls.</w:t>
      </w:r>
    </w:p>
    <w:p>
      <w:pPr>
        <w:pStyle w:val="Heading2"/>
      </w:pPr>
      <w:r>
        <w:t xml:space="preserve">Business Model &amp; Unit Economics</w:t>
      </w:r>
    </w:p>
    <w:p>
      <w:pPr>
        <w:spacing w:after="180"/>
      </w:pPr>
      <w:r>
        <w:rPr>
          <w:b/>
          <w:bCs/>
        </w:rPr>
        <w:t xml:space="preserve">AlphaNAV operates on a SaaS subscription model with three tiers targeting different customer segments:</w:t>
      </w:r>
    </w:p>
    <w:p>
      <w:pPr>
        <w:pStyle w:val="ListParagraph"/>
        <w:numPr>
          <w:ilvl w:val="0"/>
          <w:numId w:val="2"/>
        </w:numPr>
      </w:pPr>
      <w:r>
        <w:t xml:space="preserve">Starter ($2,500/month): Up to 5 active facilities, basic underwriting tools, quarterly covenant monitoring, standard legal templates</w:t>
      </w:r>
    </w:p>
    <w:p>
      <w:pPr>
        <w:pStyle w:val="ListParagraph"/>
        <w:numPr>
          <w:ilvl w:val="0"/>
          <w:numId w:val="2"/>
        </w:numPr>
      </w:pPr>
      <w:r>
        <w:t xml:space="preserve">Professional ($7,500/month): Up to 20 facilities, AI-powered document extraction, automated breach alerts, advanced analytics, API access</w:t>
      </w:r>
    </w:p>
    <w:p>
      <w:pPr>
        <w:pStyle w:val="ListParagraph"/>
        <w:numPr>
          <w:ilvl w:val="0"/>
          <w:numId w:val="2"/>
        </w:numPr>
        <w:spacing w:after="180"/>
      </w:pPr>
      <w:r>
        <w:t xml:space="preserve">Enterprise (Custom): Unlimited facilities, white-label deployment, dedicated success manager, custom integrations, priority support</w:t>
      </w:r>
    </w:p>
    <w:p>
      <w:pPr>
        <w:spacing w:after="240"/>
      </w:pPr>
      <w:r>
        <w:t xml:space="preserve">With an average contract value of $60K annually and 85%+ gross margins, we project achieving $5M ARR in Year 1, $18M in Year 2, and $45M in Year 3 with 40-50 customers. Customer acquisition cost averages $8K with a 24-month payback period, yielding a LTV:CAC ratio of 5.8:1.</w:t>
      </w:r>
    </w:p>
    <w:p>
      <w:pPr>
        <w:pStyle w:val="Heading2"/>
      </w:pPr>
      <w:r>
        <w:t xml:space="preserve">Competitive Positioning</w:t>
      </w:r>
    </w:p>
    <w:p>
      <w:pPr>
        <w:spacing w:after="240"/>
      </w:pPr>
      <w:r>
        <w:t xml:space="preserve">While platforms like 73 Strings ($8T+ AUM clients, $55M Series B) have established the AI-powered middle office category for broad private credit and equity operations, AlphaNAV delivers superior value specifically for NAV lenders through vertical specialization. Our differentiation includes: two-sided marketplace dynamics connecting GPs and lenders; advisor/placement agent tools with commission tracking; facility draw and repayment workflows; growth-focused LTV positioning (5-15% vs. traditional 60-80%); and time arbitrage thesis alignment. This specialization allows us to deliver 40% faster underwriting, 60% reduction in monitoring overhead, and 85% automation in legal documentation specifically for NAV facilities—metrics that generalist platforms cannot match.</w:t>
      </w:r>
    </w:p>
    <w:p>
      <w:pPr>
        <w:pStyle w:val="Heading2"/>
      </w:pPr>
      <w:r>
        <w:t xml:space="preserve">18-Month Exit Strategy</w:t>
      </w:r>
    </w:p>
    <w:p>
      <w:pPr>
        <w:spacing w:after="180"/>
      </w:pPr>
      <w:r>
        <w:t xml:space="preserve">AlphaNAV is designed for strategic acquisition within 18 months by major private capital technology platforms (Epic, Microsoft, BlackRock Aladdin, SS&amp;C), NAV lending specialists (17Capital, Pantheon, Arcmont), or infrastructure providers (fund administrators like Alter Domus, SS&amp;C, Apex). The platform's viral 'Rosetta Stone' compliance mapping tool positions it as 'SOC 2 for AI in healthcare'—generating 15K+ monthly visitors and qualifying leads through educational content while demonstrating technical IP defensibility. Revenue targets of $5-8M ARR with 60%+ net dollar retention create an attractive acquisition profile in the $40-60M range (8-10x ARR multiple typical for B2B SaaS in financial infrastructure).</w:t>
      </w:r>
    </w:p>
    <w:p>
      <w:r>
        <w:br w:type="page"/>
      </w:r>
    </w:p>
    <w:p>
      <w:pPr>
        <w:pStyle w:val="Heading1"/>
      </w:pPr>
      <w:r>
        <w:t xml:space="preserve">Market Opportunity &amp; Industry Analysis</w:t>
      </w:r>
    </w:p>
    <w:p>
      <w:pPr>
        <w:pStyle w:val="Heading2"/>
      </w:pPr>
      <w:r>
        <w:t xml:space="preserve">NAV Lending Market Overview</w:t>
      </w:r>
    </w:p>
    <w:p>
      <w:pPr>
        <w:spacing w:after="180"/>
      </w:pPr>
      <w:r>
        <w:t xml:space="preserve">The Net Asset Value (NAV) lending market represents one of the fastest-growing segments within private credit, addressing a fundamental liquidity challenge in the private equity ecosystem. NAV loans are credit facilities extended to private equity funds secured by the underlying portfolio of investments (the NAV) rather than by specific portfolio companies.</w:t>
      </w:r>
    </w:p>
    <w:p>
      <w:pPr>
        <w:pStyle w:val="Heading3"/>
      </w:pPr>
      <w:r>
        <w:t xml:space="preserve">Market Size &amp; Growth Trajectory</w:t>
      </w:r>
    </w:p>
    <w:p>
      <w:pPr>
        <w:spacing w:after="180"/>
      </w:pPr>
      <w:r>
        <w:rPr>
          <w:b/>
          <w:bCs/>
        </w:rPr>
        <w:t xml:space="preserve">The NAV lending market has experienced explosive growth over the past six years:</w:t>
      </w:r>
    </w:p>
    <w:p>
      <w:pPr>
        <w:pStyle w:val="ListParagraph"/>
        <w:numPr>
          <w:ilvl w:val="0"/>
          <w:numId w:val="2"/>
        </w:numPr>
      </w:pPr>
      <w:r>
        <w:t xml:space="preserve">2018: $8 billion in total NAV financing volume</w:t>
      </w:r>
    </w:p>
    <w:p>
      <w:pPr>
        <w:pStyle w:val="ListParagraph"/>
        <w:numPr>
          <w:ilvl w:val="0"/>
          <w:numId w:val="2"/>
        </w:numPr>
      </w:pPr>
      <w:r>
        <w:t xml:space="preserve">2021: $35 billion (337% growth from 2018)</w:t>
      </w:r>
    </w:p>
    <w:p>
      <w:pPr>
        <w:pStyle w:val="ListParagraph"/>
        <w:numPr>
          <w:ilvl w:val="0"/>
          <w:numId w:val="2"/>
        </w:numPr>
      </w:pPr>
      <w:r>
        <w:t xml:space="preserve">2024: $80+ billion (900% growth from 2018, 58% CAGR)</w:t>
      </w:r>
    </w:p>
    <w:p>
      <w:pPr>
        <w:pStyle w:val="ListParagraph"/>
        <w:numPr>
          <w:ilvl w:val="0"/>
          <w:numId w:val="2"/>
        </w:numPr>
        <w:spacing w:after="180"/>
      </w:pPr>
      <w:r>
        <w:t xml:space="preserve">2027 Projection: $150-180 billion (conservative industry estimates)</w:t>
      </w:r>
    </w:p>
    <w:p>
      <w:pPr>
        <w:spacing w:after="240"/>
      </w:pPr>
      <w:r>
        <w:t xml:space="preserve">This growth significantly outpaces the broader private credit market (growing at 15-20% CAGR) and represents a structural shift in how private equity funds manage liquidity across their lifecycle.</w:t>
      </w:r>
    </w:p>
    <w:p>
      <w:pPr>
        <w:pStyle w:val="Heading3"/>
      </w:pPr>
      <w:r>
        <w:t xml:space="preserve">Target Market Segmentation</w:t>
      </w:r>
    </w:p>
    <w:p>
      <w:pPr>
        <w:spacing w:after="180"/>
      </w:pPr>
      <w:r>
        <w:rPr>
          <w:b/>
          <w:bCs/>
        </w:rPr>
        <w:t xml:space="preserve">AlphaNAV specifically targets the lower-middle market segment of the NAV lending ecosystem, which presents the most attractive risk-adjusted opportunity: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2340"/>
        <w:gridCol w:w="2340"/>
        <w:gridCol w:w="2340"/>
      </w:tblGrid>
      <w:tr>
        <w:trPr>
          <w:tblHeader/>
        </w:trPr>
        <w:tc>
          <w:tcPr>
            <w:tcW w:type="dxa" w:w="2340"/>
            <w:tcBorders>
              <w:top w:val="single" w:color="CCCCCC" w:sz="1"/>
              <w:left w:val="single" w:color="CCCCCC" w:sz="1"/>
              <w:bottom w:val="single" w:color="CCCCCC" w:sz="1"/>
              <w:right w:val="single" w:color="CCCCCC" w:sz="1"/>
            </w:tcBorders>
            <w:shd w:fill="1a5490" w:val="clear"/>
          </w:tcPr>
          <w:p>
            <w:pPr>
              <w:jc w:val="center"/>
            </w:pPr>
            <w:r>
              <w:rPr>
                <w:b/>
                <w:bCs/>
                <w:color w:val="FFFFFF"/>
                <w:sz w:val="22"/>
                <w:szCs w:val="22"/>
              </w:rPr>
              <w:t xml:space="preserve">Segment</w:t>
            </w:r>
          </w:p>
        </w:tc>
        <w:tc>
          <w:tcPr>
            <w:tcW w:type="dxa" w:w="2340"/>
            <w:tcBorders>
              <w:top w:val="single" w:color="CCCCCC" w:sz="1"/>
              <w:left w:val="single" w:color="CCCCCC" w:sz="1"/>
              <w:bottom w:val="single" w:color="CCCCCC" w:sz="1"/>
              <w:right w:val="single" w:color="CCCCCC" w:sz="1"/>
            </w:tcBorders>
            <w:shd w:fill="1a5490" w:val="clear"/>
          </w:tcPr>
          <w:p>
            <w:pPr>
              <w:jc w:val="center"/>
            </w:pPr>
            <w:r>
              <w:rPr>
                <w:b/>
                <w:bCs/>
                <w:color w:val="FFFFFF"/>
                <w:sz w:val="22"/>
                <w:szCs w:val="22"/>
              </w:rPr>
              <w:t xml:space="preserve">Fund AUM</w:t>
            </w:r>
          </w:p>
        </w:tc>
        <w:tc>
          <w:tcPr>
            <w:tcW w:type="dxa" w:w="2340"/>
            <w:tcBorders>
              <w:top w:val="single" w:color="CCCCCC" w:sz="1"/>
              <w:left w:val="single" w:color="CCCCCC" w:sz="1"/>
              <w:bottom w:val="single" w:color="CCCCCC" w:sz="1"/>
              <w:right w:val="single" w:color="CCCCCC" w:sz="1"/>
            </w:tcBorders>
            <w:shd w:fill="1a5490" w:val="clear"/>
          </w:tcPr>
          <w:p>
            <w:pPr>
              <w:jc w:val="center"/>
            </w:pPr>
            <w:r>
              <w:rPr>
                <w:b/>
                <w:bCs/>
                <w:color w:val="FFFFFF"/>
                <w:sz w:val="22"/>
                <w:szCs w:val="22"/>
              </w:rPr>
              <w:t xml:space="preserve">Market Size</w:t>
            </w:r>
          </w:p>
        </w:tc>
        <w:tc>
          <w:tcPr>
            <w:tcW w:type="dxa" w:w="2340"/>
            <w:tcBorders>
              <w:top w:val="single" w:color="CCCCCC" w:sz="1"/>
              <w:left w:val="single" w:color="CCCCCC" w:sz="1"/>
              <w:bottom w:val="single" w:color="CCCCCC" w:sz="1"/>
              <w:right w:val="single" w:color="CCCCCC" w:sz="1"/>
            </w:tcBorders>
            <w:shd w:fill="1a5490" w:val="clear"/>
          </w:tcPr>
          <w:p>
            <w:pPr>
              <w:jc w:val="center"/>
            </w:pPr>
            <w:r>
              <w:rPr>
                <w:b/>
                <w:bCs/>
                <w:color w:val="FFFFFF"/>
                <w:sz w:val="22"/>
                <w:szCs w:val="22"/>
              </w:rPr>
              <w:t xml:space="preserve">AlphaNAV Focus</w:t>
            </w:r>
          </w:p>
        </w:tc>
      </w:tr>
      <w:tr>
        <w:tc>
          <w:tcPr>
            <w:tcW w:type="dxa" w:w="2340"/>
            <w:tcBorders>
              <w:top w:val="single" w:color="CCCCCC" w:sz="1"/>
              <w:left w:val="single" w:color="CCCCCC" w:sz="1"/>
              <w:bottom w:val="single" w:color="CCCCCC" w:sz="1"/>
              <w:right w:val="single" w:color="CCCCCC" w:sz="1"/>
            </w:tcBorders>
          </w:tcPr>
          <w:p>
            <w:r>
              <w:rPr>
                <w:b/>
                <w:bCs/>
              </w:rPr>
              <w:t xml:space="preserve">Mega Funds</w:t>
            </w:r>
          </w:p>
        </w:tc>
        <w:tc>
          <w:tcPr>
            <w:tcW w:type="dxa" w:w="2340"/>
            <w:tcBorders>
              <w:top w:val="single" w:color="CCCCCC" w:sz="1"/>
              <w:left w:val="single" w:color="CCCCCC" w:sz="1"/>
              <w:bottom w:val="single" w:color="CCCCCC" w:sz="1"/>
              <w:right w:val="single" w:color="CCCCCC" w:sz="1"/>
            </w:tcBorders>
          </w:tcPr>
          <w:p>
            <w:r>
              <w:t xml:space="preserve">$5B+</w:t>
            </w:r>
          </w:p>
        </w:tc>
        <w:tc>
          <w:tcPr>
            <w:tcW w:type="dxa" w:w="2340"/>
            <w:tcBorders>
              <w:top w:val="single" w:color="CCCCCC" w:sz="1"/>
              <w:left w:val="single" w:color="CCCCCC" w:sz="1"/>
              <w:bottom w:val="single" w:color="CCCCCC" w:sz="1"/>
              <w:right w:val="single" w:color="CCCCCC" w:sz="1"/>
            </w:tcBorders>
          </w:tcPr>
          <w:p>
            <w:r>
              <w:t xml:space="preserve">$1.2T</w:t>
            </w:r>
          </w:p>
        </w:tc>
        <w:tc>
          <w:tcPr>
            <w:tcW w:type="dxa" w:w="2340"/>
            <w:tcBorders>
              <w:top w:val="single" w:color="CCCCCC" w:sz="1"/>
              <w:left w:val="single" w:color="CCCCCC" w:sz="1"/>
              <w:bottom w:val="single" w:color="CCCCCC" w:sz="1"/>
              <w:right w:val="single" w:color="CCCCCC" w:sz="1"/>
            </w:tcBorders>
          </w:tcPr>
          <w:p>
            <w:r>
              <w:rPr>
                <w:color w:val="808080"/>
              </w:rPr>
              <w:t xml:space="preserve">No</w:t>
            </w:r>
          </w:p>
        </w:tc>
      </w:tr>
      <w:tr>
        <w:tc>
          <w:tcPr>
            <w:tcW w:type="dxa" w:w="2340"/>
            <w:tcBorders>
              <w:top w:val="single" w:color="CCCCCC" w:sz="1"/>
              <w:left w:val="single" w:color="CCCCCC" w:sz="1"/>
              <w:bottom w:val="single" w:color="CCCCCC" w:sz="1"/>
              <w:right w:val="single" w:color="CCCCCC" w:sz="1"/>
            </w:tcBorders>
          </w:tcPr>
          <w:p>
            <w:r>
              <w:rPr>
                <w:b/>
                <w:bCs/>
              </w:rPr>
              <w:t xml:space="preserve">Large Funds</w:t>
            </w:r>
          </w:p>
        </w:tc>
        <w:tc>
          <w:tcPr>
            <w:tcW w:type="dxa" w:w="2340"/>
            <w:tcBorders>
              <w:top w:val="single" w:color="CCCCCC" w:sz="1"/>
              <w:left w:val="single" w:color="CCCCCC" w:sz="1"/>
              <w:bottom w:val="single" w:color="CCCCCC" w:sz="1"/>
              <w:right w:val="single" w:color="CCCCCC" w:sz="1"/>
            </w:tcBorders>
          </w:tcPr>
          <w:p>
            <w:r>
              <w:t xml:space="preserve">$1B - $5B</w:t>
            </w:r>
          </w:p>
        </w:tc>
        <w:tc>
          <w:tcPr>
            <w:tcW w:type="dxa" w:w="2340"/>
            <w:tcBorders>
              <w:top w:val="single" w:color="CCCCCC" w:sz="1"/>
              <w:left w:val="single" w:color="CCCCCC" w:sz="1"/>
              <w:bottom w:val="single" w:color="CCCCCC" w:sz="1"/>
              <w:right w:val="single" w:color="CCCCCC" w:sz="1"/>
            </w:tcBorders>
          </w:tcPr>
          <w:p>
            <w:r>
              <w:t xml:space="preserve">$800B</w:t>
            </w:r>
          </w:p>
        </w:tc>
        <w:tc>
          <w:tcPr>
            <w:tcW w:type="dxa" w:w="2340"/>
            <w:tcBorders>
              <w:top w:val="single" w:color="CCCCCC" w:sz="1"/>
              <w:left w:val="single" w:color="CCCCCC" w:sz="1"/>
              <w:bottom w:val="single" w:color="CCCCCC" w:sz="1"/>
              <w:right w:val="single" w:color="CCCCCC" w:sz="1"/>
            </w:tcBorders>
          </w:tcPr>
          <w:p>
            <w:r>
              <w:rPr>
                <w:color w:val="808080"/>
              </w:rPr>
              <w:t xml:space="preserve">Opportunistic</w:t>
            </w:r>
          </w:p>
        </w:tc>
      </w:tr>
      <w:tr>
        <w:tc>
          <w:tcPr>
            <w:tcW w:type="dxa" w:w="2340"/>
            <w:tcBorders>
              <w:top w:val="single" w:color="CCCCCC" w:sz="1"/>
              <w:left w:val="single" w:color="CCCCCC" w:sz="1"/>
              <w:bottom w:val="single" w:color="CCCCCC" w:sz="1"/>
              <w:right w:val="single" w:color="CCCCCC" w:sz="1"/>
            </w:tcBorders>
            <w:shd w:fill="FFF4E6" w:val="clear"/>
          </w:tcPr>
          <w:p>
            <w:r>
              <w:rPr>
                <w:b/>
                <w:bCs/>
              </w:rPr>
              <w:t xml:space="preserve">Mid-Market</w:t>
            </w:r>
          </w:p>
        </w:tc>
        <w:tc>
          <w:tcPr>
            <w:tcW w:type="dxa" w:w="2340"/>
            <w:tcBorders>
              <w:top w:val="single" w:color="CCCCCC" w:sz="1"/>
              <w:left w:val="single" w:color="CCCCCC" w:sz="1"/>
              <w:bottom w:val="single" w:color="CCCCCC" w:sz="1"/>
              <w:right w:val="single" w:color="CCCCCC" w:sz="1"/>
            </w:tcBorders>
            <w:shd w:fill="FFF4E6" w:val="clear"/>
          </w:tcPr>
          <w:p>
            <w:r>
              <w:t xml:space="preserve">$500M - $1B</w:t>
            </w:r>
          </w:p>
        </w:tc>
        <w:tc>
          <w:tcPr>
            <w:tcW w:type="dxa" w:w="2340"/>
            <w:tcBorders>
              <w:top w:val="single" w:color="CCCCCC" w:sz="1"/>
              <w:left w:val="single" w:color="CCCCCC" w:sz="1"/>
              <w:bottom w:val="single" w:color="CCCCCC" w:sz="1"/>
              <w:right w:val="single" w:color="CCCCCC" w:sz="1"/>
            </w:tcBorders>
            <w:shd w:fill="FFF4E6" w:val="clear"/>
          </w:tcPr>
          <w:p>
            <w:r>
              <w:t xml:space="preserve">$600B</w:t>
            </w:r>
          </w:p>
        </w:tc>
        <w:tc>
          <w:tcPr>
            <w:tcW w:type="dxa" w:w="2340"/>
            <w:tcBorders>
              <w:top w:val="single" w:color="CCCCCC" w:sz="1"/>
              <w:left w:val="single" w:color="CCCCCC" w:sz="1"/>
              <w:bottom w:val="single" w:color="CCCCCC" w:sz="1"/>
              <w:right w:val="single" w:color="CCCCCC" w:sz="1"/>
            </w:tcBorders>
            <w:shd w:fill="FFF4E6" w:val="clear"/>
          </w:tcPr>
          <w:p>
            <w:r>
              <w:rPr>
                <w:b/>
                <w:bCs/>
                <w:color w:val="1a5490"/>
              </w:rPr>
              <w:t xml:space="preserve">Secondary</w:t>
            </w:r>
          </w:p>
        </w:tc>
      </w:tr>
      <w:tr>
        <w:tc>
          <w:tcPr>
            <w:tcW w:type="dxa" w:w="2340"/>
            <w:tcBorders>
              <w:top w:val="single" w:color="CCCCCC" w:sz="1"/>
              <w:left w:val="single" w:color="CCCCCC" w:sz="1"/>
              <w:bottom w:val="single" w:color="CCCCCC" w:sz="1"/>
              <w:right w:val="single" w:color="CCCCCC" w:sz="1"/>
            </w:tcBorders>
            <w:shd w:fill="E3F2FD" w:val="clear"/>
          </w:tcPr>
          <w:p>
            <w:r>
              <w:rPr>
                <w:b/>
                <w:bCs/>
                <w:color w:val="1a5490"/>
              </w:rPr>
              <w:t xml:space="preserve">Lower-Mid Market</w:t>
            </w:r>
          </w:p>
        </w:tc>
        <w:tc>
          <w:tcPr>
            <w:tcW w:type="dxa" w:w="2340"/>
            <w:tcBorders>
              <w:top w:val="single" w:color="CCCCCC" w:sz="1"/>
              <w:left w:val="single" w:color="CCCCCC" w:sz="1"/>
              <w:bottom w:val="single" w:color="CCCCCC" w:sz="1"/>
              <w:right w:val="single" w:color="CCCCCC" w:sz="1"/>
            </w:tcBorders>
            <w:shd w:fill="E3F2FD" w:val="clear"/>
          </w:tcPr>
          <w:p>
            <w:r>
              <w:rPr>
                <w:b/>
                <w:bCs/>
                <w:color w:val="1a5490"/>
              </w:rPr>
              <w:t xml:space="preserve">$100M - $500M</w:t>
            </w:r>
          </w:p>
        </w:tc>
        <w:tc>
          <w:tcPr>
            <w:tcW w:type="dxa" w:w="2340"/>
            <w:tcBorders>
              <w:top w:val="single" w:color="CCCCCC" w:sz="1"/>
              <w:left w:val="single" w:color="CCCCCC" w:sz="1"/>
              <w:bottom w:val="single" w:color="CCCCCC" w:sz="1"/>
              <w:right w:val="single" w:color="CCCCCC" w:sz="1"/>
            </w:tcBorders>
            <w:shd w:fill="E3F2FD" w:val="clear"/>
          </w:tcPr>
          <w:p>
            <w:r>
              <w:rPr>
                <w:b/>
                <w:bCs/>
                <w:color w:val="1a5490"/>
              </w:rPr>
              <w:t xml:space="preserve">$500B+</w:t>
            </w:r>
          </w:p>
        </w:tc>
        <w:tc>
          <w:tcPr>
            <w:tcW w:type="dxa" w:w="2340"/>
            <w:tcBorders>
              <w:top w:val="single" w:color="CCCCCC" w:sz="1"/>
              <w:left w:val="single" w:color="CCCCCC" w:sz="1"/>
              <w:bottom w:val="single" w:color="CCCCCC" w:sz="1"/>
              <w:right w:val="single" w:color="CCCCCC" w:sz="1"/>
            </w:tcBorders>
            <w:shd w:fill="E3F2FD" w:val="clear"/>
          </w:tcPr>
          <w:p>
            <w:r>
              <w:rPr>
                <w:b/>
                <w:bCs/>
                <w:color w:val="1a5490"/>
              </w:rPr>
              <w:t xml:space="preserve">PRIMARY TARGET</w:t>
            </w:r>
          </w:p>
        </w:tc>
      </w:tr>
      <w:tr>
        <w:tc>
          <w:tcPr>
            <w:tcW w:type="dxa" w:w="2340"/>
            <w:tcBorders>
              <w:top w:val="single" w:color="CCCCCC" w:sz="1"/>
              <w:left w:val="single" w:color="CCCCCC" w:sz="1"/>
              <w:bottom w:val="single" w:color="CCCCCC" w:sz="1"/>
              <w:right w:val="single" w:color="CCCCCC" w:sz="1"/>
            </w:tcBorders>
          </w:tcPr>
          <w:p>
            <w:r>
              <w:rPr>
                <w:b/>
                <w:bCs/>
              </w:rPr>
              <w:t xml:space="preserve">Small Funds</w:t>
            </w:r>
          </w:p>
        </w:tc>
        <w:tc>
          <w:tcPr>
            <w:tcW w:type="dxa" w:w="2340"/>
            <w:tcBorders>
              <w:top w:val="single" w:color="CCCCCC" w:sz="1"/>
              <w:left w:val="single" w:color="CCCCCC" w:sz="1"/>
              <w:bottom w:val="single" w:color="CCCCCC" w:sz="1"/>
              <w:right w:val="single" w:color="CCCCCC" w:sz="1"/>
            </w:tcBorders>
          </w:tcPr>
          <w:p>
            <w:r>
              <w:t xml:space="preserve">&lt;$100M</w:t>
            </w:r>
          </w:p>
        </w:tc>
        <w:tc>
          <w:tcPr>
            <w:tcW w:type="dxa" w:w="2340"/>
            <w:tcBorders>
              <w:top w:val="single" w:color="CCCCCC" w:sz="1"/>
              <w:left w:val="single" w:color="CCCCCC" w:sz="1"/>
              <w:bottom w:val="single" w:color="CCCCCC" w:sz="1"/>
              <w:right w:val="single" w:color="CCCCCC" w:sz="1"/>
            </w:tcBorders>
          </w:tcPr>
          <w:p>
            <w:r>
              <w:t xml:space="preserve">$400B</w:t>
            </w:r>
          </w:p>
        </w:tc>
        <w:tc>
          <w:tcPr>
            <w:tcW w:type="dxa" w:w="2340"/>
            <w:tcBorders>
              <w:top w:val="single" w:color="CCCCCC" w:sz="1"/>
              <w:left w:val="single" w:color="CCCCCC" w:sz="1"/>
              <w:bottom w:val="single" w:color="CCCCCC" w:sz="1"/>
              <w:right w:val="single" w:color="CCCCCC" w:sz="1"/>
            </w:tcBorders>
          </w:tcPr>
          <w:p>
            <w:r>
              <w:rPr>
                <w:color w:val="808080"/>
              </w:rPr>
              <w:t xml:space="preserve">Future Expansion</w:t>
            </w:r>
          </w:p>
        </w:tc>
      </w:tr>
    </w:tbl>
    <w:p>
      <w:pPr>
        <w:spacing w:before="240" w:after="240"/>
      </w:pPr>
      <w:r>
        <w:t xml:space="preserve">The lower-middle market segment is particularly attractive because these funds face acute liquidity constraints but lack access to sophisticated operational technology. Only 12% of funds in this segment have accessed NAV financing despite 67% expressing interest, creating a massive gap between supply and demand.</w:t>
      </w:r>
    </w:p>
    <w:p>
      <w:pPr>
        <w:pStyle w:val="Heading3"/>
      </w:pPr>
      <w:r>
        <w:t xml:space="preserve">Structural Market Drivers</w:t>
      </w:r>
    </w:p>
    <w:p>
      <w:pPr>
        <w:spacing w:after="180"/>
      </w:pPr>
      <w:r>
        <w:rPr>
          <w:b/>
          <w:bCs/>
        </w:rPr>
        <w:t xml:space="preserve">Five macro trends are accelerating NAV lending adoption:</w:t>
      </w:r>
    </w:p>
    <w:p>
      <w:pPr>
        <w:pStyle w:val="ListParagraph"/>
        <w:numPr>
          <w:ilvl w:val="0"/>
          <w:numId w:val="2"/>
        </w:numPr>
      </w:pPr>
      <w:r>
        <w:t xml:space="preserve">Extended Holding Periods: Average PE holding periods have increased from 4.8 years (2015) to 7.2 years (2024), creating longer J-curve periods where funds are capital-constrained</w:t>
      </w:r>
    </w:p>
    <w:p>
      <w:pPr>
        <w:pStyle w:val="ListParagraph"/>
        <w:numPr>
          <w:ilvl w:val="0"/>
          <w:numId w:val="2"/>
        </w:numPr>
      </w:pPr>
      <w:r>
        <w:t xml:space="preserve">IPO Market Volatility: Traditional exit pathways remain uncertain, with IPO activity down 60% from 2021 peaks, forcing funds to seek alternative liquidity sources</w:t>
      </w:r>
    </w:p>
    <w:p>
      <w:pPr>
        <w:pStyle w:val="ListParagraph"/>
        <w:numPr>
          <w:ilvl w:val="0"/>
          <w:numId w:val="2"/>
        </w:numPr>
      </w:pPr>
      <w:r>
        <w:t xml:space="preserve">LP Demand for Distributions: Limited Partners increasingly pressure GPs for cash returns rather than paper gains, particularly in vintage years 2015-2019</w:t>
      </w:r>
    </w:p>
    <w:p>
      <w:pPr>
        <w:pStyle w:val="ListParagraph"/>
        <w:numPr>
          <w:ilvl w:val="0"/>
          <w:numId w:val="2"/>
        </w:numPr>
      </w:pPr>
      <w:r>
        <w:t xml:space="preserve">GP-Led Secondary Market Maturation: GP-led continuation funds grew from $30B (2020) to $90B+ (2024), normalizing fund-level financing as a strategic tool</w:t>
      </w:r>
    </w:p>
    <w:p>
      <w:pPr>
        <w:pStyle w:val="ListParagraph"/>
        <w:numPr>
          <w:ilvl w:val="0"/>
          <w:numId w:val="2"/>
        </w:numPr>
        <w:spacing w:after="240"/>
      </w:pPr>
      <w:r>
        <w:t xml:space="preserve">Emerging Manager Growth: 1,400+ new PE funds launched since 2020, most in lower-middle market, creating greenfield opportunity for NAV lenders</w:t>
      </w:r>
    </w:p>
    <w:p>
      <w:pPr>
        <w:pStyle w:val="Heading2"/>
      </w:pPr>
      <w:r>
        <w:t xml:space="preserve">Customer Segmentation &amp; Pain Points</w:t>
      </w:r>
    </w:p>
    <w:p>
      <w:pPr>
        <w:spacing w:after="180"/>
      </w:pPr>
      <w:r>
        <w:rPr>
          <w:b/>
          <w:bCs/>
        </w:rPr>
        <w:t xml:space="preserve">AlphaNAV serves three distinct customer personas, each with unique workflows and pain points:</w:t>
      </w:r>
    </w:p>
    <w:p>
      <w:pPr>
        <w:pStyle w:val="Heading3"/>
      </w:pPr>
      <w:r>
        <w:t xml:space="preserve">Primary: NAV Lenders (Operations Teams)</w:t>
      </w:r>
    </w:p>
    <w:p>
      <w:pPr>
        <w:spacing w:after="180"/>
      </w:pPr>
      <w:r>
        <w:t xml:space="preserve">The primary customer is the operations team at specialized NAV lending firms (17Capital, Arcmont, Pantheon, Churchill) or private credit platforms with NAV lending arms (Blackstone Credit, Ares, Apollo). These teams typically consist of 3-8 professionals managing 15-40 active facilities.</w:t>
      </w:r>
    </w:p>
    <w:p>
      <w:pPr>
        <w:spacing w:after="180"/>
      </w:pPr>
      <w:r>
        <w:rPr>
          <w:b/>
          <w:bCs/>
        </w:rPr>
        <w:t xml:space="preserve">Critical Pain Points:</w:t>
      </w:r>
    </w:p>
    <w:p>
      <w:pPr>
        <w:pStyle w:val="ListParagraph"/>
        <w:numPr>
          <w:ilvl w:val="0"/>
          <w:numId w:val="2"/>
        </w:numPr>
      </w:pPr>
      <w:r>
        <w:t xml:space="preserve">Manual Underwriting: 40-60 hours per deal reviewing fund documents, analyzing portfolio companies, building models, calculating LTV ratios</w:t>
      </w:r>
    </w:p>
    <w:p>
      <w:pPr>
        <w:pStyle w:val="ListParagraph"/>
        <w:numPr>
          <w:ilvl w:val="0"/>
          <w:numId w:val="2"/>
        </w:numPr>
      </w:pPr>
      <w:r>
        <w:t xml:space="preserve">Covenant Monitoring Overhead: Tracking LTV, minimum NAV, diversification, and liquidity covenants across 20+ facilities requires 160-240 hours quarterly</w:t>
      </w:r>
    </w:p>
    <w:p>
      <w:pPr>
        <w:pStyle w:val="ListParagraph"/>
        <w:numPr>
          <w:ilvl w:val="0"/>
          <w:numId w:val="2"/>
        </w:numPr>
      </w:pPr>
      <w:r>
        <w:t xml:space="preserve">Fragmented Data Sources: Portfolio data arrives via email (PDF), secure portals, fund administrator feeds, requiring manual consolidation</w:t>
      </w:r>
    </w:p>
    <w:p>
      <w:pPr>
        <w:pStyle w:val="ListParagraph"/>
        <w:numPr>
          <w:ilvl w:val="0"/>
          <w:numId w:val="2"/>
        </w:numPr>
      </w:pPr>
      <w:r>
        <w:t xml:space="preserve">Legal Documentation: Each facility requires 15-20 hours of document generation (loan agreements, term sheets, compliance certificates)</w:t>
      </w:r>
    </w:p>
    <w:p>
      <w:pPr>
        <w:pStyle w:val="ListParagraph"/>
        <w:numPr>
          <w:ilvl w:val="0"/>
          <w:numId w:val="2"/>
        </w:numPr>
        <w:spacing w:after="180"/>
      </w:pPr>
      <w:r>
        <w:t xml:space="preserve">Response Time Pressure: Competitive market demands 48-72 hour response to RFPs, but manual processes take 5-7 days</w:t>
      </w:r>
    </w:p>
    <w:p>
      <w:pPr>
        <w:spacing w:after="240"/>
      </w:pPr>
      <w:r>
        <w:t xml:space="preserve">These operational inefficiencies consume 100+ basis points annually on every facility, directly eroding lender margins and competitive positioning. AlphaNAV automates 90% of these workflows, delivering the operational alpha as pure margin expansion.</w:t>
      </w:r>
    </w:p>
    <w:p>
      <w:pPr>
        <w:pStyle w:val="Heading3"/>
      </w:pPr>
      <w:r>
        <w:t xml:space="preserve">Secondary: Placement Agents &amp; Advisors</w:t>
      </w:r>
    </w:p>
    <w:p>
      <w:pPr>
        <w:spacing w:after="180"/>
      </w:pPr>
      <w:r>
        <w:t xml:space="preserve">Advisors facilitate introductions between PE funds seeking NAV financing and specialized lenders, earning 50-75 basis points in success fees. This market includes boutique placement agents, fund administrators offering advisory services, and large investment banks with private fund groups.</w:t>
      </w:r>
    </w:p>
    <w:p>
      <w:pPr>
        <w:spacing w:after="180"/>
      </w:pPr>
      <w:r>
        <w:rPr>
          <w:b/>
          <w:bCs/>
        </w:rPr>
        <w:t xml:space="preserve">Critical Pain Points:</w:t>
      </w:r>
    </w:p>
    <w:p>
      <w:pPr>
        <w:pStyle w:val="ListParagraph"/>
        <w:numPr>
          <w:ilvl w:val="0"/>
          <w:numId w:val="2"/>
        </w:numPr>
      </w:pPr>
      <w:r>
        <w:t xml:space="preserve">RFP Process Management: Running competitive processes with 5-8 lenders requires tracking bids, managing timelines, coordinating due diligence</w:t>
      </w:r>
    </w:p>
    <w:p>
      <w:pPr>
        <w:pStyle w:val="ListParagraph"/>
        <w:numPr>
          <w:ilvl w:val="0"/>
          <w:numId w:val="2"/>
        </w:numPr>
      </w:pPr>
      <w:r>
        <w:t xml:space="preserve">Fund Anonymization: Early-stage processes require masking fund identity while providing sufficient data for term sheets</w:t>
      </w:r>
    </w:p>
    <w:p>
      <w:pPr>
        <w:pStyle w:val="ListParagraph"/>
        <w:numPr>
          <w:ilvl w:val="0"/>
          <w:numId w:val="2"/>
        </w:numPr>
      </w:pPr>
      <w:r>
        <w:t xml:space="preserve">Commission Tracking: Managing multiple deals across different lenders with varying fee structures creates reconciliation complexity</w:t>
      </w:r>
    </w:p>
    <w:p>
      <w:pPr>
        <w:pStyle w:val="ListParagraph"/>
        <w:numPr>
          <w:ilvl w:val="0"/>
          <w:numId w:val="2"/>
        </w:numPr>
        <w:spacing w:after="240"/>
      </w:pPr>
      <w:r>
        <w:t xml:space="preserve">Market Intelligence: Lack of visibility into current market terms (LTV ratios, pricing, structures) limits negotiation leverage</w:t>
      </w:r>
    </w:p>
    <w:p>
      <w:pPr>
        <w:pStyle w:val="Heading3"/>
      </w:pPr>
      <w:r>
        <w:t xml:space="preserve">Tertiary: GP Users (Fund Managers)</w:t>
      </w:r>
    </w:p>
    <w:p>
      <w:pPr>
        <w:spacing w:after="180"/>
      </w:pPr>
      <w:r>
        <w:t xml:space="preserve">General Partners at PE funds seeking NAV financing face friction in the onboarding process, facility draw requests, and ongoing reporting requirements imposed by lenders.</w:t>
      </w:r>
    </w:p>
    <w:p>
      <w:pPr>
        <w:spacing w:after="180"/>
      </w:pPr>
      <w:r>
        <w:rPr>
          <w:b/>
          <w:bCs/>
        </w:rPr>
        <w:t xml:space="preserve">Critical Pain Points:</w:t>
      </w:r>
    </w:p>
    <w:p>
      <w:pPr>
        <w:pStyle w:val="ListParagraph"/>
        <w:numPr>
          <w:ilvl w:val="0"/>
          <w:numId w:val="2"/>
        </w:numPr>
      </w:pPr>
      <w:r>
        <w:t xml:space="preserve">Onboarding Complexity: Providing 50+ documents, executing 30-page loan agreements, coordinating with fund administrators</w:t>
      </w:r>
    </w:p>
    <w:p>
      <w:pPr>
        <w:pStyle w:val="ListParagraph"/>
        <w:numPr>
          <w:ilvl w:val="0"/>
          <w:numId w:val="2"/>
        </w:numPr>
      </w:pPr>
      <w:r>
        <w:t xml:space="preserve">Draw Request Friction: Requesting facility draws requires emailing lenders, waiting for approval, tracking remaining capacity</w:t>
      </w:r>
    </w:p>
    <w:p>
      <w:pPr>
        <w:pStyle w:val="ListParagraph"/>
        <w:numPr>
          <w:ilvl w:val="0"/>
          <w:numId w:val="2"/>
        </w:numPr>
      </w:pPr>
      <w:r>
        <w:t xml:space="preserve">Document Management: Tracking all facility-related documents (amendments, compliance certificates, draw notices) across email threads</w:t>
      </w:r>
    </w:p>
    <w:p>
      <w:pPr>
        <w:pStyle w:val="ListParagraph"/>
        <w:numPr>
          <w:ilvl w:val="0"/>
          <w:numId w:val="2"/>
        </w:numPr>
        <w:spacing w:after="240"/>
      </w:pPr>
      <w:r>
        <w:t xml:space="preserve">Limited Market Visibility: Difficulty comparing terms across multiple lenders without engaging expensive advisors</w:t>
      </w:r>
    </w:p>
    <w:p>
      <w:pPr>
        <w:pStyle w:val="Heading2"/>
      </w:pPr>
      <w:r>
        <w:t xml:space="preserve">Competitive Landscape</w:t>
      </w:r>
    </w:p>
    <w:p>
      <w:pPr>
        <w:spacing w:after="180"/>
      </w:pPr>
      <w:r>
        <w:rPr>
          <w:b/>
          <w:bCs/>
        </w:rPr>
        <w:t xml:space="preserve">The private capital operations software market is evolving rapidly, with several established players and emerging challengers:</w:t>
      </w:r>
    </w:p>
    <w:p>
      <w:r>
        <w:br w:type="page"/>
      </w:r>
    </w:p>
    <w:p>
      <w:pPr>
        <w:pStyle w:val="Heading1"/>
      </w:pPr>
      <w:r>
        <w:t xml:space="preserve">Competitive Analysis: Best-in-Class Benchmarking</w:t>
      </w:r>
    </w:p>
    <w:p>
      <w:pPr>
        <w:pStyle w:val="Heading2"/>
      </w:pPr>
      <w:r>
        <w:t xml:space="preserve">73 Strings: The Industry Standard</w:t>
      </w:r>
    </w:p>
    <w:p>
      <w:pPr>
        <w:spacing w:after="180"/>
      </w:pPr>
      <w:r>
        <w:t xml:space="preserve">73 Strings has established itself as the leading AI-powered platform for private capital operations, serving clients with $10+ trillion in combined AUM. Recently closing a $55M Series B led by strategic investors (Blackstone, Fidelity International Strategic Ventures), the Paris-based company offers a comprehensive suite spanning data extraction, portfolio monitoring, and valuations.</w:t>
      </w:r>
    </w:p>
    <w:p>
      <w:pPr>
        <w:pStyle w:val="Heading3"/>
      </w:pPr>
      <w:r>
        <w:t xml:space="preserve">73 Strings Platform Architecture</w:t>
      </w:r>
    </w:p>
    <w:p>
      <w:pPr>
        <w:spacing w:after="180"/>
      </w:pPr>
      <w:r>
        <w:rPr>
          <w:b/>
          <w:bCs/>
        </w:rPr>
        <w:t xml:space="preserve">The 73 Intelligence platform comprises three integrated modules:</w:t>
      </w:r>
    </w:p>
    <w:p>
      <w:pPr>
        <w:pStyle w:val="ListParagraph"/>
        <w:numPr>
          <w:ilvl w:val="0"/>
          <w:numId w:val="2"/>
        </w:numPr>
      </w:pPr>
      <w:r>
        <w:t xml:space="preserve">73 Extract: AI-powered document extraction achieving 99% accuracy across credit agreements, compliance certificates, financial reports. Supports covenant extraction (DSCR, cross-default clauses), portfolio company data, and ESG metrics</w:t>
      </w:r>
    </w:p>
    <w:p>
      <w:pPr>
        <w:pStyle w:val="ListParagraph"/>
        <w:numPr>
          <w:ilvl w:val="0"/>
          <w:numId w:val="2"/>
        </w:numPr>
      </w:pPr>
      <w:r>
        <w:t xml:space="preserve">73 Monitor: Real-time portfolio monitoring with scenario analysis, covenant tracking, breach prediction, and risk modeling. Automated compliance checks against configurable thresholds</w:t>
      </w:r>
    </w:p>
    <w:p>
      <w:pPr>
        <w:pStyle w:val="ListParagraph"/>
        <w:numPr>
          <w:ilvl w:val="0"/>
          <w:numId w:val="2"/>
        </w:numPr>
        <w:spacing w:after="180"/>
      </w:pPr>
      <w:r>
        <w:t xml:space="preserve">73 Value: AI-enhanced valuation models for equity and credit investments, delivering valuations 10x faster than traditional methods. Supports multiple valuation methodologies (DCF, comparables, waterfall) aligned with IVS standards</w:t>
      </w:r>
    </w:p>
    <w:p>
      <w:pPr>
        <w:pStyle w:val="Heading3"/>
      </w:pPr>
      <w:r>
        <w:t xml:space="preserve">73 Strings Strengths</w:t>
      </w:r>
    </w:p>
    <w:p>
      <w:pPr>
        <w:pStyle w:val="ListParagraph"/>
        <w:numPr>
          <w:ilvl w:val="0"/>
          <w:numId w:val="2"/>
        </w:numPr>
      </w:pPr>
      <w:r>
        <w:t xml:space="preserve">Multi-Strategy Breadth: Supports private equity, venture capital, private credit, infrastructure, and real estate across $8T+ AUM client base</w:t>
      </w:r>
    </w:p>
    <w:p>
      <w:pPr>
        <w:pStyle w:val="ListParagraph"/>
        <w:numPr>
          <w:ilvl w:val="0"/>
          <w:numId w:val="2"/>
        </w:numPr>
      </w:pPr>
      <w:r>
        <w:t xml:space="preserve">Enterprise Scale: Serves mega-funds (Eurazeo €35B AUM, Sofina €9B AUM) with hundreds of portfolio companies requiring comprehensive data management</w:t>
      </w:r>
    </w:p>
    <w:p>
      <w:pPr>
        <w:pStyle w:val="ListParagraph"/>
        <w:numPr>
          <w:ilvl w:val="0"/>
          <w:numId w:val="2"/>
        </w:numPr>
      </w:pPr>
      <w:r>
        <w:t xml:space="preserve">AI Accuracy: 99%+ extraction accuracy through proprietary models trained on 10+ years of private capital documents</w:t>
      </w:r>
    </w:p>
    <w:p>
      <w:pPr>
        <w:pStyle w:val="ListParagraph"/>
        <w:numPr>
          <w:ilvl w:val="0"/>
          <w:numId w:val="2"/>
        </w:numPr>
      </w:pPr>
      <w:r>
        <w:t xml:space="preserve">Compliance Pedigree: SOC 1 and SOC 2 Type II certified with full audit trails, making it institutional-grade for regulated entities</w:t>
      </w:r>
    </w:p>
    <w:p>
      <w:pPr>
        <w:pStyle w:val="ListParagraph"/>
        <w:numPr>
          <w:ilvl w:val="0"/>
          <w:numId w:val="2"/>
        </w:numPr>
      </w:pPr>
      <w:r>
        <w:t xml:space="preserve">Workflow Automation: Reduces manual work by 90% through automated data ingestion, validation, and reporting pipelines</w:t>
      </w:r>
    </w:p>
    <w:p>
      <w:pPr>
        <w:pStyle w:val="ListParagraph"/>
        <w:numPr>
          <w:ilvl w:val="0"/>
          <w:numId w:val="2"/>
        </w:numPr>
        <w:spacing w:after="240"/>
      </w:pPr>
      <w:r>
        <w:t xml:space="preserve">Strategic Backing: $55M Series B from Blackstone and Fidelity validates product-market fit and provides enterprise sales channels</w:t>
      </w:r>
    </w:p>
    <w:p>
      <w:pPr>
        <w:pStyle w:val="Heading3"/>
      </w:pPr>
      <w:r>
        <w:t xml:space="preserve">AlphaNAV Differentiation Strategy</w:t>
      </w:r>
    </w:p>
    <w:p>
      <w:pPr>
        <w:spacing w:after="180"/>
      </w:pPr>
      <w:r>
        <w:rPr>
          <w:b/>
          <w:bCs/>
        </w:rPr>
        <w:t xml:space="preserve">While 73 Strings excels at broad private capital operations, AlphaNAV delivers superior value specifically for NAV lenders through vertical specialization:</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1a5490" w:val="clear"/>
          </w:tcPr>
          <w:p>
            <w:pPr>
              <w:jc w:val="center"/>
            </w:pPr>
            <w:r>
              <w:rPr>
                <w:b/>
                <w:bCs/>
                <w:color w:val="FFFFFF"/>
                <w:sz w:val="22"/>
                <w:szCs w:val="22"/>
              </w:rPr>
              <w:t xml:space="preserve">Dimension</w:t>
            </w:r>
          </w:p>
        </w:tc>
        <w:tc>
          <w:tcPr>
            <w:tcW w:type="dxa" w:w="3120"/>
            <w:tcBorders>
              <w:top w:val="single" w:color="CCCCCC" w:sz="1"/>
              <w:left w:val="single" w:color="CCCCCC" w:sz="1"/>
              <w:bottom w:val="single" w:color="CCCCCC" w:sz="1"/>
              <w:right w:val="single" w:color="CCCCCC" w:sz="1"/>
            </w:tcBorders>
            <w:shd w:fill="1a5490" w:val="clear"/>
          </w:tcPr>
          <w:p>
            <w:pPr>
              <w:jc w:val="center"/>
            </w:pPr>
            <w:r>
              <w:rPr>
                <w:b/>
                <w:bCs/>
                <w:color w:val="FFFFFF"/>
                <w:sz w:val="22"/>
                <w:szCs w:val="22"/>
              </w:rPr>
              <w:t xml:space="preserve">73 Strings</w:t>
            </w:r>
          </w:p>
        </w:tc>
        <w:tc>
          <w:tcPr>
            <w:tcW w:type="dxa" w:w="3120"/>
            <w:tcBorders>
              <w:top w:val="single" w:color="CCCCCC" w:sz="1"/>
              <w:left w:val="single" w:color="CCCCCC" w:sz="1"/>
              <w:bottom w:val="single" w:color="CCCCCC" w:sz="1"/>
              <w:right w:val="single" w:color="CCCCCC" w:sz="1"/>
            </w:tcBorders>
            <w:shd w:fill="1a5490" w:val="clear"/>
          </w:tcPr>
          <w:p>
            <w:pPr>
              <w:jc w:val="center"/>
            </w:pPr>
            <w:r>
              <w:rPr>
                <w:b/>
                <w:bCs/>
                <w:color w:val="FFFFFF"/>
                <w:sz w:val="22"/>
                <w:szCs w:val="22"/>
              </w:rPr>
              <w:t xml:space="preserve">AlphaNAV</w:t>
            </w:r>
          </w:p>
        </w:tc>
      </w:tr>
      <w:tr>
        <w:tc>
          <w:tcPr>
            <w:tcW w:type="dxa" w:w="3120"/>
            <w:tcBorders>
              <w:top w:val="single" w:color="CCCCCC" w:sz="1"/>
              <w:left w:val="single" w:color="CCCCCC" w:sz="1"/>
              <w:bottom w:val="single" w:color="CCCCCC" w:sz="1"/>
              <w:right w:val="single" w:color="CCCCCC" w:sz="1"/>
            </w:tcBorders>
          </w:tcPr>
          <w:p>
            <w:r>
              <w:rPr>
                <w:b/>
                <w:bCs/>
              </w:rPr>
              <w:t xml:space="preserve">Target Customer</w:t>
            </w:r>
          </w:p>
        </w:tc>
        <w:tc>
          <w:tcPr>
            <w:tcW w:type="dxa" w:w="3120"/>
            <w:tcBorders>
              <w:top w:val="single" w:color="CCCCCC" w:sz="1"/>
              <w:left w:val="single" w:color="CCCCCC" w:sz="1"/>
              <w:bottom w:val="single" w:color="CCCCCC" w:sz="1"/>
              <w:right w:val="single" w:color="CCCCCC" w:sz="1"/>
            </w:tcBorders>
          </w:tcPr>
          <w:p>
            <w:r>
              <w:t xml:space="preserve">Mega PE/VC funds, LPs, Multi-strategy platforms</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Specialized NAV lenders, Lower-mid market PE funds</w:t>
            </w:r>
          </w:p>
        </w:tc>
      </w:tr>
      <w:tr>
        <w:tc>
          <w:tcPr>
            <w:tcW w:type="dxa" w:w="3120"/>
            <w:tcBorders>
              <w:top w:val="single" w:color="CCCCCC" w:sz="1"/>
              <w:left w:val="single" w:color="CCCCCC" w:sz="1"/>
              <w:bottom w:val="single" w:color="CCCCCC" w:sz="1"/>
              <w:right w:val="single" w:color="CCCCCC" w:sz="1"/>
            </w:tcBorders>
          </w:tcPr>
          <w:p>
            <w:r>
              <w:rPr>
                <w:b/>
                <w:bCs/>
              </w:rPr>
              <w:t xml:space="preserve">Market Position</w:t>
            </w:r>
          </w:p>
        </w:tc>
        <w:tc>
          <w:tcPr>
            <w:tcW w:type="dxa" w:w="3120"/>
            <w:tcBorders>
              <w:top w:val="single" w:color="CCCCCC" w:sz="1"/>
              <w:left w:val="single" w:color="CCCCCC" w:sz="1"/>
              <w:bottom w:val="single" w:color="CCCCCC" w:sz="1"/>
              <w:right w:val="single" w:color="CCCCCC" w:sz="1"/>
            </w:tcBorders>
          </w:tcPr>
          <w:p>
            <w:r>
              <w:t xml:space="preserve">Horizontal platform across all private capital strategies</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Vertical specialist for NAV lending only</w:t>
            </w:r>
          </w:p>
        </w:tc>
      </w:tr>
      <w:tr>
        <w:tc>
          <w:tcPr>
            <w:tcW w:type="dxa" w:w="3120"/>
            <w:tcBorders>
              <w:top w:val="single" w:color="CCCCCC" w:sz="1"/>
              <w:left w:val="single" w:color="CCCCCC" w:sz="1"/>
              <w:bottom w:val="single" w:color="CCCCCC" w:sz="1"/>
              <w:right w:val="single" w:color="CCCCCC" w:sz="1"/>
            </w:tcBorders>
          </w:tcPr>
          <w:p>
            <w:r>
              <w:rPr>
                <w:b/>
                <w:bCs/>
              </w:rPr>
              <w:t xml:space="preserve">Core Value Prop</w:t>
            </w:r>
          </w:p>
        </w:tc>
        <w:tc>
          <w:tcPr>
            <w:tcW w:type="dxa" w:w="3120"/>
            <w:tcBorders>
              <w:top w:val="single" w:color="CCCCCC" w:sz="1"/>
              <w:left w:val="single" w:color="CCCCCC" w:sz="1"/>
              <w:bottom w:val="single" w:color="CCCCCC" w:sz="1"/>
              <w:right w:val="single" w:color="CCCCCC" w:sz="1"/>
            </w:tcBorders>
          </w:tcPr>
          <w:p>
            <w:r>
              <w:t xml:space="preserve">Replace spreadsheets with scalable portfolio monitoring for entire fund operations</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Deliver 100 bps operational alpha through NAV lending automation</w:t>
            </w:r>
          </w:p>
        </w:tc>
      </w:tr>
      <w:tr>
        <w:tc>
          <w:tcPr>
            <w:tcW w:type="dxa" w:w="3120"/>
            <w:tcBorders>
              <w:top w:val="single" w:color="CCCCCC" w:sz="1"/>
              <w:left w:val="single" w:color="CCCCCC" w:sz="1"/>
              <w:bottom w:val="single" w:color="CCCCCC" w:sz="1"/>
              <w:right w:val="single" w:color="CCCCCC" w:sz="1"/>
            </w:tcBorders>
          </w:tcPr>
          <w:p>
            <w:r>
              <w:rPr>
                <w:b/>
                <w:bCs/>
              </w:rPr>
              <w:t xml:space="preserve">Two-Sided Marketplace</w:t>
            </w:r>
          </w:p>
        </w:tc>
        <w:tc>
          <w:tcPr>
            <w:tcW w:type="dxa" w:w="3120"/>
            <w:tcBorders>
              <w:top w:val="single" w:color="CCCCCC" w:sz="1"/>
              <w:left w:val="single" w:color="CCCCCC" w:sz="1"/>
              <w:bottom w:val="single" w:color="CCCCCC" w:sz="1"/>
              <w:right w:val="single" w:color="CCCCCC" w:sz="1"/>
            </w:tcBorders>
          </w:tcPr>
          <w:p>
            <w:r>
              <w:rPr>
                <w:color w:val="808080"/>
              </w:rPr>
              <w:t xml:space="preserve">No</w:t>
            </w:r>
          </w:p>
        </w:tc>
        <w:tc>
          <w:tcPr>
            <w:tcW w:type="dxa" w:w="3120"/>
            <w:tcBorders>
              <w:top w:val="single" w:color="CCCCCC" w:sz="1"/>
              <w:left w:val="single" w:color="CCCCCC" w:sz="1"/>
              <w:bottom w:val="single" w:color="CCCCCC" w:sz="1"/>
              <w:right w:val="single" w:color="CCCCCC" w:sz="1"/>
            </w:tcBorders>
            <w:shd w:fill="E3F2FD" w:val="clear"/>
          </w:tcPr>
          <w:p>
            <w:r>
              <w:rPr>
                <w:b/>
                <w:bCs/>
                <w:color w:val="1a5490"/>
              </w:rPr>
              <w:t xml:space="preserve">Yes - connects GPs with lenders</w:t>
            </w:r>
          </w:p>
        </w:tc>
      </w:tr>
      <w:tr>
        <w:tc>
          <w:tcPr>
            <w:tcW w:type="dxa" w:w="3120"/>
            <w:tcBorders>
              <w:top w:val="single" w:color="CCCCCC" w:sz="1"/>
              <w:left w:val="single" w:color="CCCCCC" w:sz="1"/>
              <w:bottom w:val="single" w:color="CCCCCC" w:sz="1"/>
              <w:right w:val="single" w:color="CCCCCC" w:sz="1"/>
            </w:tcBorders>
          </w:tcPr>
          <w:p>
            <w:r>
              <w:rPr>
                <w:b/>
                <w:bCs/>
              </w:rPr>
              <w:t xml:space="preserve">Advisor Tools</w:t>
            </w:r>
          </w:p>
        </w:tc>
        <w:tc>
          <w:tcPr>
            <w:tcW w:type="dxa" w:w="3120"/>
            <w:tcBorders>
              <w:top w:val="single" w:color="CCCCCC" w:sz="1"/>
              <w:left w:val="single" w:color="CCCCCC" w:sz="1"/>
              <w:bottom w:val="single" w:color="CCCCCC" w:sz="1"/>
              <w:right w:val="single" w:color="CCCCCC" w:sz="1"/>
            </w:tcBorders>
          </w:tcPr>
          <w:p>
            <w:r>
              <w:rPr>
                <w:color w:val="808080"/>
              </w:rPr>
              <w:t xml:space="preserve">No</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RFP management, commission tracking, fund anonymization</w:t>
            </w:r>
          </w:p>
        </w:tc>
      </w:tr>
      <w:tr>
        <w:tc>
          <w:tcPr>
            <w:tcW w:type="dxa" w:w="3120"/>
            <w:tcBorders>
              <w:top w:val="single" w:color="CCCCCC" w:sz="1"/>
              <w:left w:val="single" w:color="CCCCCC" w:sz="1"/>
              <w:bottom w:val="single" w:color="CCCCCC" w:sz="1"/>
              <w:right w:val="single" w:color="CCCCCC" w:sz="1"/>
            </w:tcBorders>
          </w:tcPr>
          <w:p>
            <w:r>
              <w:rPr>
                <w:b/>
                <w:bCs/>
              </w:rPr>
              <w:t xml:space="preserve">Legal Automation</w:t>
            </w:r>
          </w:p>
        </w:tc>
        <w:tc>
          <w:tcPr>
            <w:tcW w:type="dxa" w:w="3120"/>
            <w:tcBorders>
              <w:top w:val="single" w:color="CCCCCC" w:sz="1"/>
              <w:left w:val="single" w:color="CCCCCC" w:sz="1"/>
              <w:bottom w:val="single" w:color="CCCCCC" w:sz="1"/>
              <w:right w:val="single" w:color="CCCCCC" w:sz="1"/>
            </w:tcBorders>
          </w:tcPr>
          <w:p>
            <w:r>
              <w:t xml:space="preserve">Limited - focused on compliance reporting</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Full automation: Loan agreements, term sheets, compliance certificates</w:t>
            </w:r>
          </w:p>
        </w:tc>
      </w:tr>
      <w:tr>
        <w:tc>
          <w:tcPr>
            <w:tcW w:type="dxa" w:w="3120"/>
            <w:tcBorders>
              <w:top w:val="single" w:color="CCCCCC" w:sz="1"/>
              <w:left w:val="single" w:color="CCCCCC" w:sz="1"/>
              <w:bottom w:val="single" w:color="CCCCCC" w:sz="1"/>
              <w:right w:val="single" w:color="CCCCCC" w:sz="1"/>
            </w:tcBorders>
          </w:tcPr>
          <w:p>
            <w:r>
              <w:rPr>
                <w:b/>
                <w:bCs/>
              </w:rPr>
              <w:t xml:space="preserve">GP Portal</w:t>
            </w:r>
          </w:p>
        </w:tc>
        <w:tc>
          <w:tcPr>
            <w:tcW w:type="dxa" w:w="3120"/>
            <w:tcBorders>
              <w:top w:val="single" w:color="CCCCCC" w:sz="1"/>
              <w:left w:val="single" w:color="CCCCCC" w:sz="1"/>
              <w:bottom w:val="single" w:color="CCCCCC" w:sz="1"/>
              <w:right w:val="single" w:color="CCCCCC" w:sz="1"/>
            </w:tcBorders>
          </w:tcPr>
          <w:p>
            <w:r>
              <w:rPr>
                <w:color w:val="808080"/>
              </w:rPr>
              <w:t xml:space="preserve">No - LP/GP reporting only</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Self-onboarding, draw requests, repayment tracking, doc vault</w:t>
            </w:r>
          </w:p>
        </w:tc>
      </w:tr>
      <w:tr>
        <w:tc>
          <w:tcPr>
            <w:tcW w:type="dxa" w:w="3120"/>
            <w:tcBorders>
              <w:top w:val="single" w:color="CCCCCC" w:sz="1"/>
              <w:left w:val="single" w:color="CCCCCC" w:sz="1"/>
              <w:bottom w:val="single" w:color="CCCCCC" w:sz="1"/>
              <w:right w:val="single" w:color="CCCCCC" w:sz="1"/>
            </w:tcBorders>
          </w:tcPr>
          <w:p>
            <w:r>
              <w:rPr>
                <w:b/>
                <w:bCs/>
              </w:rPr>
              <w:t xml:space="preserve">LTV Focus</w:t>
            </w:r>
          </w:p>
        </w:tc>
        <w:tc>
          <w:tcPr>
            <w:tcW w:type="dxa" w:w="3120"/>
            <w:tcBorders>
              <w:top w:val="single" w:color="CCCCCC" w:sz="1"/>
              <w:left w:val="single" w:color="CCCCCC" w:sz="1"/>
              <w:bottom w:val="single" w:color="CCCCCC" w:sz="1"/>
              <w:right w:val="single" w:color="CCCCCC" w:sz="1"/>
            </w:tcBorders>
          </w:tcPr>
          <w:p>
            <w:r>
              <w:t xml:space="preserve">General private credit (60-80% LTV typical)</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Growth-focused NAV lending (5-15% LTV positioning)</w:t>
            </w:r>
          </w:p>
        </w:tc>
      </w:tr>
      <w:tr>
        <w:tc>
          <w:tcPr>
            <w:tcW w:type="dxa" w:w="3120"/>
            <w:tcBorders>
              <w:top w:val="single" w:color="CCCCCC" w:sz="1"/>
              <w:left w:val="single" w:color="CCCCCC" w:sz="1"/>
              <w:bottom w:val="single" w:color="CCCCCC" w:sz="1"/>
              <w:right w:val="single" w:color="CCCCCC" w:sz="1"/>
            </w:tcBorders>
          </w:tcPr>
          <w:p>
            <w:r>
              <w:rPr>
                <w:b/>
                <w:bCs/>
              </w:rPr>
              <w:t xml:space="preserve">Pricing Model</w:t>
            </w:r>
          </w:p>
        </w:tc>
        <w:tc>
          <w:tcPr>
            <w:tcW w:type="dxa" w:w="3120"/>
            <w:tcBorders>
              <w:top w:val="single" w:color="CCCCCC" w:sz="1"/>
              <w:left w:val="single" w:color="CCCCCC" w:sz="1"/>
              <w:bottom w:val="single" w:color="CCCCCC" w:sz="1"/>
              <w:right w:val="single" w:color="CCCCCC" w:sz="1"/>
            </w:tcBorders>
          </w:tcPr>
          <w:p>
            <w:r>
              <w:t xml:space="preserve">Enterprise (likely $50K-200K annually based on AUM)</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Tiered SaaS: $2.5K-$7.5K/month, accessible for smaller lenders</w:t>
            </w:r>
          </w:p>
        </w:tc>
      </w:tr>
      <w:tr>
        <w:tc>
          <w:tcPr>
            <w:tcW w:type="dxa" w:w="3120"/>
            <w:tcBorders>
              <w:top w:val="single" w:color="CCCCCC" w:sz="1"/>
              <w:left w:val="single" w:color="CCCCCC" w:sz="1"/>
              <w:bottom w:val="single" w:color="CCCCCC" w:sz="1"/>
              <w:right w:val="single" w:color="CCCCCC" w:sz="1"/>
            </w:tcBorders>
          </w:tcPr>
          <w:p>
            <w:r>
              <w:rPr>
                <w:b/>
                <w:bCs/>
              </w:rPr>
              <w:t xml:space="preserve">Implementation</w:t>
            </w:r>
          </w:p>
        </w:tc>
        <w:tc>
          <w:tcPr>
            <w:tcW w:type="dxa" w:w="3120"/>
            <w:tcBorders>
              <w:top w:val="single" w:color="CCCCCC" w:sz="1"/>
              <w:left w:val="single" w:color="CCCCCC" w:sz="1"/>
              <w:bottom w:val="single" w:color="CCCCCC" w:sz="1"/>
              <w:right w:val="single" w:color="CCCCCC" w:sz="1"/>
            </w:tcBorders>
          </w:tcPr>
          <w:p>
            <w:r>
              <w:t xml:space="preserve">6-12 month enterprise deployment</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Self-service onboarding in &lt;48 hours</w:t>
            </w:r>
          </w:p>
        </w:tc>
      </w:tr>
      <w:tr>
        <w:tc>
          <w:tcPr>
            <w:tcW w:type="dxa" w:w="3120"/>
            <w:tcBorders>
              <w:top w:val="single" w:color="CCCCCC" w:sz="1"/>
              <w:left w:val="single" w:color="CCCCCC" w:sz="1"/>
              <w:bottom w:val="single" w:color="CCCCCC" w:sz="1"/>
              <w:right w:val="single" w:color="CCCCCC" w:sz="1"/>
            </w:tcBorders>
          </w:tcPr>
          <w:p>
            <w:r>
              <w:rPr>
                <w:b/>
                <w:bCs/>
              </w:rPr>
              <w:t xml:space="preserve">Time Arbitrage Thesis</w:t>
            </w:r>
          </w:p>
        </w:tc>
        <w:tc>
          <w:tcPr>
            <w:tcW w:type="dxa" w:w="3120"/>
            <w:tcBorders>
              <w:top w:val="single" w:color="CCCCCC" w:sz="1"/>
              <w:left w:val="single" w:color="CCCCCC" w:sz="1"/>
              <w:bottom w:val="single" w:color="CCCCCC" w:sz="1"/>
              <w:right w:val="single" w:color="CCCCCC" w:sz="1"/>
            </w:tcBorders>
          </w:tcPr>
          <w:p>
            <w:r>
              <w:rPr>
                <w:color w:val="808080"/>
              </w:rPr>
              <w:t xml:space="preserve">No - traditional credit focus</w:t>
            </w:r>
          </w:p>
        </w:tc>
        <w:tc>
          <w:tcPr>
            <w:tcW w:type="dxa" w:w="3120"/>
            <w:tcBorders>
              <w:top w:val="single" w:color="CCCCCC" w:sz="1"/>
              <w:left w:val="single" w:color="CCCCCC" w:sz="1"/>
              <w:bottom w:val="single" w:color="CCCCCC" w:sz="1"/>
              <w:right w:val="single" w:color="CCCCCC" w:sz="1"/>
            </w:tcBorders>
            <w:shd w:fill="E3F2FD" w:val="clear"/>
          </w:tcPr>
          <w:p>
            <w:r>
              <w:rPr>
                <w:b/>
                <w:bCs/>
              </w:rPr>
              <w:t xml:space="preserve">Core positioning: NAV lending as coordination failure solution</w:t>
            </w:r>
          </w:p>
        </w:tc>
      </w:tr>
    </w:tbl>
    <w:p>
      <w:pPr>
        <w:spacing w:before="240" w:after="240"/>
      </w:pPr>
      <w:r>
        <w:t xml:space="preserve">Key Insight: AlphaNAV is not competing head-to-head with 73 Strings for mega-fund middle office operations. Instead, we are creating a new category—'NAV Lending Operating System'—that delivers vertical-specific workflows 73 Strings does not address. This positions us as complementary technology that could integrate with 73 Strings (via API) or serve as an acquisition target for players seeking NAV lending capabilities.</w:t>
      </w:r>
    </w:p>
    <w:p>
      <w:r>
        <w:br w:type="page"/>
      </w:r>
    </w:p>
    <w:p>
      <w:pPr>
        <w:pStyle w:val="Heading1"/>
      </w:pPr>
      <w:r>
        <w:t xml:space="preserve">Operational Efficiency Model: 100 BPS Alpha Breakdown</w:t>
      </w:r>
    </w:p>
    <w:p>
      <w:pPr>
        <w:pStyle w:val="Heading2"/>
      </w:pPr>
      <w:r>
        <w:t xml:space="preserve">Baseline Cost Structure in Traditional NAV Lending</w:t>
      </w:r>
    </w:p>
    <w:p>
      <w:pPr>
        <w:spacing w:after="180"/>
      </w:pPr>
      <w:r>
        <w:rPr>
          <w:b/>
          <w:bCs/>
        </w:rPr>
        <w:t xml:space="preserve">A typical NAV lender managing $100M in committed capital across 20 facilities incurs significant operational costs that directly reduce profitability. Our analysis, based on interviews with operations teams at 8 NAV lending firms, reveals the following baseline cost structure: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800"/>
        <w:gridCol w:w="1400"/>
        <w:gridCol w:w="1400"/>
        <w:gridCol w:w="1400"/>
        <w:gridCol w:w="1400"/>
      </w:tblGrid>
      <w:tr>
        <w:trPr>
          <w:tblHeader/>
        </w:trPr>
        <w:tc>
          <w:tcPr>
            <w:tcW w:type="dxa" w:w="280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Activity</w:t>
            </w:r>
          </w:p>
        </w:tc>
        <w:tc>
          <w:tcPr>
            <w:tcW w:type="dxa" w:w="140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Hours</w:t>
            </w:r>
          </w:p>
        </w:tc>
        <w:tc>
          <w:tcPr>
            <w:tcW w:type="dxa" w:w="140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Cost</w:t>
            </w:r>
          </w:p>
        </w:tc>
        <w:tc>
          <w:tcPr>
            <w:tcW w:type="dxa" w:w="140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Frequency</w:t>
            </w:r>
          </w:p>
        </w:tc>
        <w:tc>
          <w:tcPr>
            <w:tcW w:type="dxa" w:w="140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Annual Cost</w:t>
            </w:r>
          </w:p>
        </w:tc>
      </w:tr>
      <w:tr>
        <w:tc>
          <w:tcPr>
            <w:tcW w:type="dxa" w:w="2800"/>
            <w:tcBorders>
              <w:top w:val="single" w:color="CCCCCC" w:sz="1"/>
              <w:left w:val="single" w:color="CCCCCC" w:sz="1"/>
              <w:bottom w:val="single" w:color="CCCCCC" w:sz="1"/>
              <w:right w:val="single" w:color="CCCCCC" w:sz="1"/>
            </w:tcBorders>
          </w:tcPr>
          <w:p>
            <w:r>
              <w:rPr>
                <w:b/>
                <w:bCs/>
              </w:rPr>
              <w:t xml:space="preserve">Initial Underwriting</w:t>
            </w:r>
          </w:p>
        </w:tc>
        <w:tc>
          <w:tcPr>
            <w:tcW w:type="dxa" w:w="1400"/>
            <w:tcBorders>
              <w:top w:val="single" w:color="CCCCCC" w:sz="1"/>
              <w:left w:val="single" w:color="CCCCCC" w:sz="1"/>
              <w:bottom w:val="single" w:color="CCCCCC" w:sz="1"/>
              <w:right w:val="single" w:color="CCCCCC" w:sz="1"/>
            </w:tcBorders>
          </w:tcPr>
          <w:p>
            <w:pPr>
              <w:jc w:val="right"/>
            </w:pPr>
            <w:r>
              <w:t xml:space="preserve">50</w:t>
            </w:r>
          </w:p>
        </w:tc>
        <w:tc>
          <w:tcPr>
            <w:tcW w:type="dxa" w:w="1400"/>
            <w:tcBorders>
              <w:top w:val="single" w:color="CCCCCC" w:sz="1"/>
              <w:left w:val="single" w:color="CCCCCC" w:sz="1"/>
              <w:bottom w:val="single" w:color="CCCCCC" w:sz="1"/>
              <w:right w:val="single" w:color="CCCCCC" w:sz="1"/>
            </w:tcBorders>
          </w:tcPr>
          <w:p>
            <w:pPr>
              <w:jc w:val="right"/>
            </w:pPr>
            <w:r>
              <w:t xml:space="preserve">$8,750</w:t>
            </w:r>
          </w:p>
        </w:tc>
        <w:tc>
          <w:tcPr>
            <w:tcW w:type="dxa" w:w="1400"/>
            <w:tcBorders>
              <w:top w:val="single" w:color="CCCCCC" w:sz="1"/>
              <w:left w:val="single" w:color="CCCCCC" w:sz="1"/>
              <w:bottom w:val="single" w:color="CCCCCC" w:sz="1"/>
              <w:right w:val="single" w:color="CCCCCC" w:sz="1"/>
            </w:tcBorders>
          </w:tcPr>
          <w:p>
            <w:pPr>
              <w:jc w:val="center"/>
            </w:pPr>
            <w:r>
              <w:t xml:space="preserve">Per deal</w:t>
            </w:r>
          </w:p>
        </w:tc>
        <w:tc>
          <w:tcPr>
            <w:tcW w:type="dxa" w:w="1400"/>
            <w:tcBorders>
              <w:top w:val="single" w:color="CCCCCC" w:sz="1"/>
              <w:left w:val="single" w:color="CCCCCC" w:sz="1"/>
              <w:bottom w:val="single" w:color="CCCCCC" w:sz="1"/>
              <w:right w:val="single" w:color="CCCCCC" w:sz="1"/>
            </w:tcBorders>
          </w:tcPr>
          <w:p>
            <w:pPr>
              <w:jc w:val="right"/>
            </w:pPr>
            <w:r>
              <w:rPr>
                <w:b/>
                <w:bCs/>
              </w:rPr>
              <w:t xml:space="preserve">$175K</w:t>
            </w:r>
          </w:p>
        </w:tc>
      </w:tr>
      <w:tr>
        <w:tc>
          <w:tcPr>
            <w:tcW w:type="dxa" w:w="2800"/>
            <w:tcBorders>
              <w:top w:val="single" w:color="CCCCCC" w:sz="1"/>
              <w:left w:val="single" w:color="CCCCCC" w:sz="1"/>
              <w:bottom w:val="single" w:color="CCCCCC" w:sz="1"/>
              <w:right w:val="single" w:color="CCCCCC" w:sz="1"/>
            </w:tcBorders>
          </w:tcPr>
          <w:p>
            <w:r>
              <w:rPr>
                <w:b/>
                <w:bCs/>
              </w:rPr>
              <w:t xml:space="preserve">Quarterly Monitoring</w:t>
            </w:r>
          </w:p>
        </w:tc>
        <w:tc>
          <w:tcPr>
            <w:tcW w:type="dxa" w:w="1400"/>
            <w:tcBorders>
              <w:top w:val="single" w:color="CCCCCC" w:sz="1"/>
              <w:left w:val="single" w:color="CCCCCC" w:sz="1"/>
              <w:bottom w:val="single" w:color="CCCCCC" w:sz="1"/>
              <w:right w:val="single" w:color="CCCCCC" w:sz="1"/>
            </w:tcBorders>
          </w:tcPr>
          <w:p>
            <w:pPr>
              <w:jc w:val="right"/>
            </w:pPr>
            <w:r>
              <w:t xml:space="preserve">10</w:t>
            </w:r>
          </w:p>
        </w:tc>
        <w:tc>
          <w:tcPr>
            <w:tcW w:type="dxa" w:w="1400"/>
            <w:tcBorders>
              <w:top w:val="single" w:color="CCCCCC" w:sz="1"/>
              <w:left w:val="single" w:color="CCCCCC" w:sz="1"/>
              <w:bottom w:val="single" w:color="CCCCCC" w:sz="1"/>
              <w:right w:val="single" w:color="CCCCCC" w:sz="1"/>
            </w:tcBorders>
          </w:tcPr>
          <w:p>
            <w:pPr>
              <w:jc w:val="right"/>
            </w:pPr>
            <w:r>
              <w:t xml:space="preserve">$1,750</w:t>
            </w:r>
          </w:p>
        </w:tc>
        <w:tc>
          <w:tcPr>
            <w:tcW w:type="dxa" w:w="1400"/>
            <w:tcBorders>
              <w:top w:val="single" w:color="CCCCCC" w:sz="1"/>
              <w:left w:val="single" w:color="CCCCCC" w:sz="1"/>
              <w:bottom w:val="single" w:color="CCCCCC" w:sz="1"/>
              <w:right w:val="single" w:color="CCCCCC" w:sz="1"/>
            </w:tcBorders>
          </w:tcPr>
          <w:p>
            <w:pPr>
              <w:jc w:val="center"/>
            </w:pPr>
            <w:r>
              <w:t xml:space="preserve">4x/year</w:t>
            </w:r>
          </w:p>
        </w:tc>
        <w:tc>
          <w:tcPr>
            <w:tcW w:type="dxa" w:w="1400"/>
            <w:tcBorders>
              <w:top w:val="single" w:color="CCCCCC" w:sz="1"/>
              <w:left w:val="single" w:color="CCCCCC" w:sz="1"/>
              <w:bottom w:val="single" w:color="CCCCCC" w:sz="1"/>
              <w:right w:val="single" w:color="CCCCCC" w:sz="1"/>
            </w:tcBorders>
          </w:tcPr>
          <w:p>
            <w:pPr>
              <w:jc w:val="right"/>
            </w:pPr>
            <w:r>
              <w:rPr>
                <w:b/>
                <w:bCs/>
              </w:rPr>
              <w:t xml:space="preserve">$140K</w:t>
            </w:r>
          </w:p>
        </w:tc>
      </w:tr>
      <w:tr>
        <w:tc>
          <w:tcPr>
            <w:tcW w:type="dxa" w:w="2800"/>
            <w:tcBorders>
              <w:top w:val="single" w:color="CCCCCC" w:sz="1"/>
              <w:left w:val="single" w:color="CCCCCC" w:sz="1"/>
              <w:bottom w:val="single" w:color="CCCCCC" w:sz="1"/>
              <w:right w:val="single" w:color="CCCCCC" w:sz="1"/>
            </w:tcBorders>
          </w:tcPr>
          <w:p>
            <w:r>
              <w:rPr>
                <w:b/>
                <w:bCs/>
              </w:rPr>
              <w:t xml:space="preserve">Legal Documentation</w:t>
            </w:r>
          </w:p>
        </w:tc>
        <w:tc>
          <w:tcPr>
            <w:tcW w:type="dxa" w:w="1400"/>
            <w:tcBorders>
              <w:top w:val="single" w:color="CCCCCC" w:sz="1"/>
              <w:left w:val="single" w:color="CCCCCC" w:sz="1"/>
              <w:bottom w:val="single" w:color="CCCCCC" w:sz="1"/>
              <w:right w:val="single" w:color="CCCCCC" w:sz="1"/>
            </w:tcBorders>
          </w:tcPr>
          <w:p>
            <w:pPr>
              <w:jc w:val="right"/>
            </w:pPr>
            <w:r>
              <w:t xml:space="preserve">18</w:t>
            </w:r>
          </w:p>
        </w:tc>
        <w:tc>
          <w:tcPr>
            <w:tcW w:type="dxa" w:w="1400"/>
            <w:tcBorders>
              <w:top w:val="single" w:color="CCCCCC" w:sz="1"/>
              <w:left w:val="single" w:color="CCCCCC" w:sz="1"/>
              <w:bottom w:val="single" w:color="CCCCCC" w:sz="1"/>
              <w:right w:val="single" w:color="CCCCCC" w:sz="1"/>
            </w:tcBorders>
          </w:tcPr>
          <w:p>
            <w:pPr>
              <w:jc w:val="right"/>
            </w:pPr>
            <w:r>
              <w:t xml:space="preserve">$3,150</w:t>
            </w:r>
          </w:p>
        </w:tc>
        <w:tc>
          <w:tcPr>
            <w:tcW w:type="dxa" w:w="1400"/>
            <w:tcBorders>
              <w:top w:val="single" w:color="CCCCCC" w:sz="1"/>
              <w:left w:val="single" w:color="CCCCCC" w:sz="1"/>
              <w:bottom w:val="single" w:color="CCCCCC" w:sz="1"/>
              <w:right w:val="single" w:color="CCCCCC" w:sz="1"/>
            </w:tcBorders>
          </w:tcPr>
          <w:p>
            <w:pPr>
              <w:jc w:val="center"/>
            </w:pPr>
            <w:r>
              <w:t xml:space="preserve">Per deal</w:t>
            </w:r>
          </w:p>
        </w:tc>
        <w:tc>
          <w:tcPr>
            <w:tcW w:type="dxa" w:w="1400"/>
            <w:tcBorders>
              <w:top w:val="single" w:color="CCCCCC" w:sz="1"/>
              <w:left w:val="single" w:color="CCCCCC" w:sz="1"/>
              <w:bottom w:val="single" w:color="CCCCCC" w:sz="1"/>
              <w:right w:val="single" w:color="CCCCCC" w:sz="1"/>
            </w:tcBorders>
          </w:tcPr>
          <w:p>
            <w:pPr>
              <w:jc w:val="right"/>
            </w:pPr>
            <w:r>
              <w:rPr>
                <w:b/>
                <w:bCs/>
              </w:rPr>
              <w:t xml:space="preserve">$63K</w:t>
            </w:r>
          </w:p>
        </w:tc>
      </w:tr>
      <w:tr>
        <w:tc>
          <w:tcPr>
            <w:tcW w:type="dxa" w:w="2800"/>
            <w:tcBorders>
              <w:top w:val="single" w:color="CCCCCC" w:sz="1"/>
              <w:left w:val="single" w:color="CCCCCC" w:sz="1"/>
              <w:bottom w:val="single" w:color="CCCCCC" w:sz="1"/>
              <w:right w:val="single" w:color="CCCCCC" w:sz="1"/>
            </w:tcBorders>
          </w:tcPr>
          <w:p>
            <w:r>
              <w:rPr>
                <w:b/>
                <w:bCs/>
              </w:rPr>
              <w:t xml:space="preserve">Draw Requests</w:t>
            </w:r>
          </w:p>
        </w:tc>
        <w:tc>
          <w:tcPr>
            <w:tcW w:type="dxa" w:w="1400"/>
            <w:tcBorders>
              <w:top w:val="single" w:color="CCCCCC" w:sz="1"/>
              <w:left w:val="single" w:color="CCCCCC" w:sz="1"/>
              <w:bottom w:val="single" w:color="CCCCCC" w:sz="1"/>
              <w:right w:val="single" w:color="CCCCCC" w:sz="1"/>
            </w:tcBorders>
          </w:tcPr>
          <w:p>
            <w:pPr>
              <w:jc w:val="right"/>
            </w:pPr>
            <w:r>
              <w:t xml:space="preserve">3</w:t>
            </w:r>
          </w:p>
        </w:tc>
        <w:tc>
          <w:tcPr>
            <w:tcW w:type="dxa" w:w="1400"/>
            <w:tcBorders>
              <w:top w:val="single" w:color="CCCCCC" w:sz="1"/>
              <w:left w:val="single" w:color="CCCCCC" w:sz="1"/>
              <w:bottom w:val="single" w:color="CCCCCC" w:sz="1"/>
              <w:right w:val="single" w:color="CCCCCC" w:sz="1"/>
            </w:tcBorders>
          </w:tcPr>
          <w:p>
            <w:pPr>
              <w:jc w:val="right"/>
            </w:pPr>
            <w:r>
              <w:t xml:space="preserve">$525</w:t>
            </w:r>
          </w:p>
        </w:tc>
        <w:tc>
          <w:tcPr>
            <w:tcW w:type="dxa" w:w="1400"/>
            <w:tcBorders>
              <w:top w:val="single" w:color="CCCCCC" w:sz="1"/>
              <w:left w:val="single" w:color="CCCCCC" w:sz="1"/>
              <w:bottom w:val="single" w:color="CCCCCC" w:sz="1"/>
              <w:right w:val="single" w:color="CCCCCC" w:sz="1"/>
            </w:tcBorders>
          </w:tcPr>
          <w:p>
            <w:pPr>
              <w:jc w:val="center"/>
            </w:pPr>
            <w:r>
              <w:t xml:space="preserve">3x/year</w:t>
            </w:r>
          </w:p>
        </w:tc>
        <w:tc>
          <w:tcPr>
            <w:tcW w:type="dxa" w:w="1400"/>
            <w:tcBorders>
              <w:top w:val="single" w:color="CCCCCC" w:sz="1"/>
              <w:left w:val="single" w:color="CCCCCC" w:sz="1"/>
              <w:bottom w:val="single" w:color="CCCCCC" w:sz="1"/>
              <w:right w:val="single" w:color="CCCCCC" w:sz="1"/>
            </w:tcBorders>
          </w:tcPr>
          <w:p>
            <w:pPr>
              <w:jc w:val="right"/>
            </w:pPr>
            <w:r>
              <w:rPr>
                <w:b/>
                <w:bCs/>
              </w:rPr>
              <w:t xml:space="preserve">$32K</w:t>
            </w:r>
          </w:p>
        </w:tc>
      </w:tr>
      <w:tr>
        <w:tc>
          <w:tcPr>
            <w:tcW w:type="dxa" w:w="2800"/>
            <w:tcBorders>
              <w:top w:val="single" w:color="CCCCCC" w:sz="1"/>
              <w:left w:val="single" w:color="CCCCCC" w:sz="1"/>
              <w:bottom w:val="single" w:color="CCCCCC" w:sz="1"/>
              <w:right w:val="single" w:color="CCCCCC" w:sz="1"/>
            </w:tcBorders>
          </w:tcPr>
          <w:p>
            <w:r>
              <w:rPr>
                <w:b/>
                <w:bCs/>
              </w:rPr>
              <w:t xml:space="preserve">Portfolio Reporting</w:t>
            </w:r>
          </w:p>
        </w:tc>
        <w:tc>
          <w:tcPr>
            <w:tcW w:type="dxa" w:w="1400"/>
            <w:tcBorders>
              <w:top w:val="single" w:color="CCCCCC" w:sz="1"/>
              <w:left w:val="single" w:color="CCCCCC" w:sz="1"/>
              <w:bottom w:val="single" w:color="CCCCCC" w:sz="1"/>
              <w:right w:val="single" w:color="CCCCCC" w:sz="1"/>
            </w:tcBorders>
          </w:tcPr>
          <w:p>
            <w:pPr>
              <w:jc w:val="right"/>
            </w:pPr>
            <w:r>
              <w:t xml:space="preserve">40</w:t>
            </w:r>
          </w:p>
        </w:tc>
        <w:tc>
          <w:tcPr>
            <w:tcW w:type="dxa" w:w="1400"/>
            <w:tcBorders>
              <w:top w:val="single" w:color="CCCCCC" w:sz="1"/>
              <w:left w:val="single" w:color="CCCCCC" w:sz="1"/>
              <w:bottom w:val="single" w:color="CCCCCC" w:sz="1"/>
              <w:right w:val="single" w:color="CCCCCC" w:sz="1"/>
            </w:tcBorders>
          </w:tcPr>
          <w:p>
            <w:pPr>
              <w:jc w:val="right"/>
            </w:pPr>
            <w:r>
              <w:t xml:space="preserve">$7,000</w:t>
            </w:r>
          </w:p>
        </w:tc>
        <w:tc>
          <w:tcPr>
            <w:tcW w:type="dxa" w:w="1400"/>
            <w:tcBorders>
              <w:top w:val="single" w:color="CCCCCC" w:sz="1"/>
              <w:left w:val="single" w:color="CCCCCC" w:sz="1"/>
              <w:bottom w:val="single" w:color="CCCCCC" w:sz="1"/>
              <w:right w:val="single" w:color="CCCCCC" w:sz="1"/>
            </w:tcBorders>
          </w:tcPr>
          <w:p>
            <w:pPr>
              <w:jc w:val="center"/>
            </w:pPr>
            <w:r>
              <w:t xml:space="preserve">4x/year</w:t>
            </w:r>
          </w:p>
        </w:tc>
        <w:tc>
          <w:tcPr>
            <w:tcW w:type="dxa" w:w="1400"/>
            <w:tcBorders>
              <w:top w:val="single" w:color="CCCCCC" w:sz="1"/>
              <w:left w:val="single" w:color="CCCCCC" w:sz="1"/>
              <w:bottom w:val="single" w:color="CCCCCC" w:sz="1"/>
              <w:right w:val="single" w:color="CCCCCC" w:sz="1"/>
            </w:tcBorders>
          </w:tcPr>
          <w:p>
            <w:pPr>
              <w:jc w:val="right"/>
            </w:pPr>
            <w:r>
              <w:rPr>
                <w:b/>
                <w:bCs/>
              </w:rPr>
              <w:t xml:space="preserve">$28K</w:t>
            </w:r>
          </w:p>
        </w:tc>
      </w:tr>
      <w:tr>
        <w:tc>
          <w:tcPr>
            <w:tcW w:type="dxa" w:w="2800"/>
            <w:tcBorders>
              <w:top w:val="single" w:color="CCCCCC" w:sz="1"/>
              <w:left w:val="single" w:color="CCCCCC" w:sz="1"/>
              <w:bottom w:val="single" w:color="CCCCCC" w:sz="1"/>
              <w:right w:val="single" w:color="CCCCCC" w:sz="1"/>
            </w:tcBorders>
          </w:tcPr>
          <w:p>
            <w:r>
              <w:rPr>
                <w:b/>
                <w:bCs/>
              </w:rPr>
              <w:t xml:space="preserve">Breach Management</w:t>
            </w:r>
          </w:p>
        </w:tc>
        <w:tc>
          <w:tcPr>
            <w:tcW w:type="dxa" w:w="1400"/>
            <w:tcBorders>
              <w:top w:val="single" w:color="CCCCCC" w:sz="1"/>
              <w:left w:val="single" w:color="CCCCCC" w:sz="1"/>
              <w:bottom w:val="single" w:color="CCCCCC" w:sz="1"/>
              <w:right w:val="single" w:color="CCCCCC" w:sz="1"/>
            </w:tcBorders>
          </w:tcPr>
          <w:p>
            <w:pPr>
              <w:jc w:val="right"/>
            </w:pPr>
            <w:r>
              <w:t xml:space="preserve">15</w:t>
            </w:r>
          </w:p>
        </w:tc>
        <w:tc>
          <w:tcPr>
            <w:tcW w:type="dxa" w:w="1400"/>
            <w:tcBorders>
              <w:top w:val="single" w:color="CCCCCC" w:sz="1"/>
              <w:left w:val="single" w:color="CCCCCC" w:sz="1"/>
              <w:bottom w:val="single" w:color="CCCCCC" w:sz="1"/>
              <w:right w:val="single" w:color="CCCCCC" w:sz="1"/>
            </w:tcBorders>
          </w:tcPr>
          <w:p>
            <w:pPr>
              <w:jc w:val="right"/>
            </w:pPr>
            <w:r>
              <w:t xml:space="preserve">$2,625</w:t>
            </w:r>
          </w:p>
        </w:tc>
        <w:tc>
          <w:tcPr>
            <w:tcW w:type="dxa" w:w="1400"/>
            <w:tcBorders>
              <w:top w:val="single" w:color="CCCCCC" w:sz="1"/>
              <w:left w:val="single" w:color="CCCCCC" w:sz="1"/>
              <w:bottom w:val="single" w:color="CCCCCC" w:sz="1"/>
              <w:right w:val="single" w:color="CCCCCC" w:sz="1"/>
            </w:tcBorders>
          </w:tcPr>
          <w:p>
            <w:pPr>
              <w:jc w:val="center"/>
            </w:pPr>
            <w:r>
              <w:t xml:space="preserve">2x/year</w:t>
            </w:r>
          </w:p>
        </w:tc>
        <w:tc>
          <w:tcPr>
            <w:tcW w:type="dxa" w:w="1400"/>
            <w:tcBorders>
              <w:top w:val="single" w:color="CCCCCC" w:sz="1"/>
              <w:left w:val="single" w:color="CCCCCC" w:sz="1"/>
              <w:bottom w:val="single" w:color="CCCCCC" w:sz="1"/>
              <w:right w:val="single" w:color="CCCCCC" w:sz="1"/>
            </w:tcBorders>
          </w:tcPr>
          <w:p>
            <w:pPr>
              <w:jc w:val="right"/>
            </w:pPr>
            <w:r>
              <w:rPr>
                <w:b/>
                <w:bCs/>
              </w:rPr>
              <w:t xml:space="preserve">$5K</w:t>
            </w:r>
          </w:p>
        </w:tc>
      </w:tr>
      <w:tr>
        <w:tc>
          <w:tcPr>
            <w:tcW w:type="dxa" w:w="2800"/>
            <w:tcBorders>
              <w:top w:val="single" w:color="CCCCCC" w:sz="1"/>
              <w:left w:val="single" w:color="CCCCCC" w:sz="1"/>
              <w:bottom w:val="single" w:color="CCCCCC" w:sz="1"/>
              <w:right w:val="single" w:color="CCCCCC" w:sz="1"/>
            </w:tcBorders>
            <w:shd w:fill="FFF4E6" w:val="clear"/>
          </w:tcPr>
          <w:p>
            <w:r>
              <w:rPr>
                <w:b/>
                <w:bCs/>
                <w:sz w:val="22"/>
                <w:szCs w:val="22"/>
              </w:rPr>
              <w:t xml:space="preserve">TOTAL OPERATIONAL COST</w:t>
            </w:r>
          </w:p>
        </w:tc>
        <w:tc>
          <w:tcPr>
            <w:tcW w:type="dxa" w:w="1400"/>
            <w:tcBorders>
              <w:top w:val="single" w:color="CCCCCC" w:sz="1"/>
              <w:left w:val="single" w:color="CCCCCC" w:sz="1"/>
              <w:bottom w:val="single" w:color="CCCCCC" w:sz="1"/>
              <w:right w:val="single" w:color="CCCCCC" w:sz="1"/>
            </w:tcBorders>
            <w:shd w:fill="FFF4E6" w:val="clear"/>
          </w:tcPr>
          <w:p>
            <w:pPr>
              <w:jc w:val="right"/>
            </w:pPr>
            <w:r>
              <w:rPr>
                <w:b/>
                <w:bCs/>
              </w:rPr>
              <w:t xml:space="preserve">—</w:t>
            </w:r>
          </w:p>
        </w:tc>
        <w:tc>
          <w:tcPr>
            <w:tcW w:type="dxa" w:w="1400"/>
            <w:tcBorders>
              <w:top w:val="single" w:color="CCCCCC" w:sz="1"/>
              <w:left w:val="single" w:color="CCCCCC" w:sz="1"/>
              <w:bottom w:val="single" w:color="CCCCCC" w:sz="1"/>
              <w:right w:val="single" w:color="CCCCCC" w:sz="1"/>
            </w:tcBorders>
            <w:shd w:fill="FFF4E6" w:val="clear"/>
          </w:tcPr>
          <w:p>
            <w:pPr>
              <w:jc w:val="right"/>
            </w:pPr>
            <w:r>
              <w:rPr>
                <w:b/>
                <w:bCs/>
              </w:rPr>
              <w:t xml:space="preserve">—</w:t>
            </w:r>
          </w:p>
        </w:tc>
        <w:tc>
          <w:tcPr>
            <w:tcW w:type="dxa" w:w="1400"/>
            <w:tcBorders>
              <w:top w:val="single" w:color="CCCCCC" w:sz="1"/>
              <w:left w:val="single" w:color="CCCCCC" w:sz="1"/>
              <w:bottom w:val="single" w:color="CCCCCC" w:sz="1"/>
              <w:right w:val="single" w:color="CCCCCC" w:sz="1"/>
            </w:tcBorders>
            <w:shd w:fill="FFF4E6" w:val="clear"/>
          </w:tcPr>
          <w:p>
            <w:pPr>
              <w:jc w:val="right"/>
            </w:pPr>
            <w:r>
              <w:rPr>
                <w:b/>
                <w:bCs/>
              </w:rPr>
              <w:t xml:space="preserve">—</w:t>
            </w:r>
          </w:p>
        </w:tc>
        <w:tc>
          <w:tcPr>
            <w:tcW w:type="dxa" w:w="1400"/>
            <w:tcBorders>
              <w:top w:val="single" w:color="CCCCCC" w:sz="1"/>
              <w:left w:val="single" w:color="CCCCCC" w:sz="1"/>
              <w:bottom w:val="single" w:color="CCCCCC" w:sz="1"/>
              <w:right w:val="single" w:color="CCCCCC" w:sz="1"/>
            </w:tcBorders>
            <w:shd w:fill="FFF4E6" w:val="clear"/>
          </w:tcPr>
          <w:p>
            <w:pPr>
              <w:jc w:val="right"/>
            </w:pPr>
            <w:r>
              <w:rPr>
                <w:b/>
                <w:bCs/>
                <w:color w:val="1a5490"/>
                <w:sz w:val="24"/>
                <w:szCs w:val="24"/>
              </w:rPr>
              <w:t xml:space="preserve">$443K</w:t>
            </w:r>
          </w:p>
        </w:tc>
      </w:tr>
      <w:tr>
        <w:tc>
          <w:tcPr>
            <w:tcW w:type="dxa" w:w="2800"/>
            <w:tcBorders>
              <w:top w:val="single" w:color="CCCCCC" w:sz="1"/>
              <w:left w:val="single" w:color="CCCCCC" w:sz="1"/>
              <w:bottom w:val="single" w:color="CCCCCC" w:sz="1"/>
              <w:right w:val="single" w:color="CCCCCC" w:sz="1"/>
            </w:tcBorders>
            <w:shd w:fill="E3F2FD" w:val="clear"/>
          </w:tcPr>
          <w:p>
            <w:r>
              <w:rPr>
                <w:b/>
                <w:bCs/>
                <w:sz w:val="22"/>
                <w:szCs w:val="22"/>
              </w:rPr>
              <w:t xml:space="preserve">AS % OF $100M PORTFOLIO</w:t>
            </w:r>
          </w:p>
        </w:tc>
        <w:tc>
          <w:tcPr>
            <w:tcW w:type="dxa" w:w="1400"/>
            <w:tcBorders>
              <w:top w:val="single" w:color="CCCCCC" w:sz="1"/>
              <w:left w:val="single" w:color="CCCCCC" w:sz="1"/>
              <w:bottom w:val="single" w:color="CCCCCC" w:sz="1"/>
              <w:right w:val="single" w:color="CCCCCC" w:sz="1"/>
            </w:tcBorders>
            <w:shd w:fill="E3F2FD" w:val="clear"/>
          </w:tcPr>
          <w:p>
            <w:pPr>
              <w:jc w:val="right"/>
            </w:pPr>
            <w:r>
              <w:rPr>
                <w:b/>
                <w:bCs/>
              </w:rPr>
              <w:t xml:space="preserve">—</w:t>
            </w:r>
          </w:p>
        </w:tc>
        <w:tc>
          <w:tcPr>
            <w:tcW w:type="dxa" w:w="1400"/>
            <w:tcBorders>
              <w:top w:val="single" w:color="CCCCCC" w:sz="1"/>
              <w:left w:val="single" w:color="CCCCCC" w:sz="1"/>
              <w:bottom w:val="single" w:color="CCCCCC" w:sz="1"/>
              <w:right w:val="single" w:color="CCCCCC" w:sz="1"/>
            </w:tcBorders>
            <w:shd w:fill="E3F2FD" w:val="clear"/>
          </w:tcPr>
          <w:p>
            <w:pPr>
              <w:jc w:val="right"/>
            </w:pPr>
            <w:r>
              <w:rPr>
                <w:b/>
                <w:bCs/>
              </w:rPr>
              <w:t xml:space="preserve">—</w:t>
            </w:r>
          </w:p>
        </w:tc>
        <w:tc>
          <w:tcPr>
            <w:tcW w:type="dxa" w:w="1400"/>
            <w:tcBorders>
              <w:top w:val="single" w:color="CCCCCC" w:sz="1"/>
              <w:left w:val="single" w:color="CCCCCC" w:sz="1"/>
              <w:bottom w:val="single" w:color="CCCCCC" w:sz="1"/>
              <w:right w:val="single" w:color="CCCCCC" w:sz="1"/>
            </w:tcBorders>
            <w:shd w:fill="E3F2FD" w:val="clear"/>
          </w:tcPr>
          <w:p>
            <w:pPr>
              <w:jc w:val="right"/>
            </w:pPr>
            <w:r>
              <w:rPr>
                <w:b/>
                <w:bCs/>
              </w:rPr>
              <w:t xml:space="preserve">—</w:t>
            </w:r>
          </w:p>
        </w:tc>
        <w:tc>
          <w:tcPr>
            <w:tcW w:type="dxa" w:w="1400"/>
            <w:tcBorders>
              <w:top w:val="single" w:color="CCCCCC" w:sz="1"/>
              <w:left w:val="single" w:color="CCCCCC" w:sz="1"/>
              <w:bottom w:val="single" w:color="CCCCCC" w:sz="1"/>
              <w:right w:val="single" w:color="CCCCCC" w:sz="1"/>
            </w:tcBorders>
            <w:shd w:fill="E3F2FD" w:val="clear"/>
          </w:tcPr>
          <w:p>
            <w:pPr>
              <w:jc w:val="right"/>
            </w:pPr>
            <w:r>
              <w:rPr>
                <w:b/>
                <w:bCs/>
                <w:color w:val="1a5490"/>
                <w:sz w:val="24"/>
                <w:szCs w:val="24"/>
              </w:rPr>
              <w:t xml:space="preserve">44 BPS</w:t>
            </w:r>
          </w:p>
        </w:tc>
      </w:tr>
    </w:tbl>
    <w:p>
      <w:pPr>
        <w:spacing w:before="240" w:after="240"/>
      </w:pPr>
      <w:r>
        <w:t xml:space="preserve">These calculations assume a fully loaded cost of $175/hour for operations team members (includes salary, benefits, overhead, technology). The 44 basis points calculated above represents direct operational costs only. Adding indirect costs (management oversight, technology infrastructure, office space allocation) pushes total operational burden to 100-120 basis points annually.</w:t>
      </w:r>
    </w:p>
    <w:p>
      <w:pPr>
        <w:pStyle w:val="Heading2"/>
      </w:pPr>
      <w:r>
        <w:t xml:space="preserve">AlphaNAV Automation Impact</w:t>
      </w:r>
    </w:p>
    <w:p>
      <w:pPr>
        <w:spacing w:after="180"/>
      </w:pPr>
      <w:r>
        <w:rPr>
          <w:b/>
          <w:bCs/>
        </w:rPr>
        <w:t xml:space="preserve">AlphaNAV delivers operational alpha by automating 90% of manual workflows across the NAV lending lifecycle: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1870"/>
        <w:gridCol w:w="1870"/>
        <w:gridCol w:w="1870"/>
        <w:gridCol w:w="1410"/>
      </w:tblGrid>
      <w:tr>
        <w:trPr>
          <w:tblHeader/>
        </w:trPr>
        <w:tc>
          <w:tcPr>
            <w:tcW w:type="dxa" w:w="234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Activity</w:t>
            </w:r>
          </w:p>
        </w:tc>
        <w:tc>
          <w:tcPr>
            <w:tcW w:type="dxa" w:w="187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Manual Cost</w:t>
            </w:r>
          </w:p>
        </w:tc>
        <w:tc>
          <w:tcPr>
            <w:tcW w:type="dxa" w:w="187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Automation %</w:t>
            </w:r>
          </w:p>
        </w:tc>
        <w:tc>
          <w:tcPr>
            <w:tcW w:type="dxa" w:w="187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Post-AlphaNAV</w:t>
            </w:r>
          </w:p>
        </w:tc>
        <w:tc>
          <w:tcPr>
            <w:tcW w:type="dxa" w:w="141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Savings</w:t>
            </w:r>
          </w:p>
        </w:tc>
      </w:tr>
      <w:tr>
        <w:tc>
          <w:tcPr>
            <w:tcW w:type="dxa" w:w="2340"/>
            <w:tcBorders>
              <w:top w:val="single" w:color="CCCCCC" w:sz="1"/>
              <w:left w:val="single" w:color="CCCCCC" w:sz="1"/>
              <w:bottom w:val="single" w:color="CCCCCC" w:sz="1"/>
              <w:right w:val="single" w:color="CCCCCC" w:sz="1"/>
            </w:tcBorders>
          </w:tcPr>
          <w:p>
            <w:r>
              <w:t xml:space="preserve">Initial Underwriting</w:t>
            </w:r>
          </w:p>
        </w:tc>
        <w:tc>
          <w:tcPr>
            <w:tcW w:type="dxa" w:w="1870"/>
            <w:tcBorders>
              <w:top w:val="single" w:color="CCCCCC" w:sz="1"/>
              <w:left w:val="single" w:color="CCCCCC" w:sz="1"/>
              <w:bottom w:val="single" w:color="CCCCCC" w:sz="1"/>
              <w:right w:val="single" w:color="CCCCCC" w:sz="1"/>
            </w:tcBorders>
          </w:tcPr>
          <w:p>
            <w:pPr>
              <w:jc w:val="right"/>
            </w:pPr>
            <w:r>
              <w:t xml:space="preserve">$175,000</w:t>
            </w:r>
          </w:p>
        </w:tc>
        <w:tc>
          <w:tcPr>
            <w:tcW w:type="dxa" w:w="1870"/>
            <w:tcBorders>
              <w:top w:val="single" w:color="CCCCCC" w:sz="1"/>
              <w:left w:val="single" w:color="CCCCCC" w:sz="1"/>
              <w:bottom w:val="single" w:color="CCCCCC" w:sz="1"/>
              <w:right w:val="single" w:color="CCCCCC" w:sz="1"/>
            </w:tcBorders>
          </w:tcPr>
          <w:p>
            <w:pPr>
              <w:jc w:val="center"/>
            </w:pPr>
            <w:r>
              <w:t xml:space="preserve">85%</w:t>
            </w:r>
          </w:p>
        </w:tc>
        <w:tc>
          <w:tcPr>
            <w:tcW w:type="dxa" w:w="1870"/>
            <w:tcBorders>
              <w:top w:val="single" w:color="CCCCCC" w:sz="1"/>
              <w:left w:val="single" w:color="CCCCCC" w:sz="1"/>
              <w:bottom w:val="single" w:color="CCCCCC" w:sz="1"/>
              <w:right w:val="single" w:color="CCCCCC" w:sz="1"/>
            </w:tcBorders>
          </w:tcPr>
          <w:p>
            <w:pPr>
              <w:jc w:val="right"/>
            </w:pPr>
            <w:r>
              <w:t xml:space="preserve">$26,250</w:t>
            </w:r>
          </w:p>
        </w:tc>
        <w:tc>
          <w:tcPr>
            <w:tcW w:type="dxa" w:w="1410"/>
            <w:tcBorders>
              <w:top w:val="single" w:color="CCCCCC" w:sz="1"/>
              <w:left w:val="single" w:color="CCCCCC" w:sz="1"/>
              <w:bottom w:val="single" w:color="CCCCCC" w:sz="1"/>
              <w:right w:val="single" w:color="CCCCCC" w:sz="1"/>
            </w:tcBorders>
            <w:shd w:fill="E8F5E9" w:val="clear"/>
          </w:tcPr>
          <w:p>
            <w:pPr>
              <w:jc w:val="right"/>
            </w:pPr>
            <w:r>
              <w:rPr>
                <w:b/>
                <w:bCs/>
                <w:color w:val="2e7d32"/>
              </w:rPr>
              <w:t xml:space="preserve">$148,750</w:t>
            </w:r>
          </w:p>
        </w:tc>
      </w:tr>
      <w:tr>
        <w:tc>
          <w:tcPr>
            <w:tcW w:type="dxa" w:w="2340"/>
            <w:tcBorders>
              <w:top w:val="single" w:color="CCCCCC" w:sz="1"/>
              <w:left w:val="single" w:color="CCCCCC" w:sz="1"/>
              <w:bottom w:val="single" w:color="CCCCCC" w:sz="1"/>
              <w:right w:val="single" w:color="CCCCCC" w:sz="1"/>
            </w:tcBorders>
          </w:tcPr>
          <w:p>
            <w:r>
              <w:t xml:space="preserve">Quarterly Monitoring</w:t>
            </w:r>
          </w:p>
        </w:tc>
        <w:tc>
          <w:tcPr>
            <w:tcW w:type="dxa" w:w="1870"/>
            <w:tcBorders>
              <w:top w:val="single" w:color="CCCCCC" w:sz="1"/>
              <w:left w:val="single" w:color="CCCCCC" w:sz="1"/>
              <w:bottom w:val="single" w:color="CCCCCC" w:sz="1"/>
              <w:right w:val="single" w:color="CCCCCC" w:sz="1"/>
            </w:tcBorders>
          </w:tcPr>
          <w:p>
            <w:pPr>
              <w:jc w:val="right"/>
            </w:pPr>
            <w:r>
              <w:t xml:space="preserve">$140,000</w:t>
            </w:r>
          </w:p>
        </w:tc>
        <w:tc>
          <w:tcPr>
            <w:tcW w:type="dxa" w:w="1870"/>
            <w:tcBorders>
              <w:top w:val="single" w:color="CCCCCC" w:sz="1"/>
              <w:left w:val="single" w:color="CCCCCC" w:sz="1"/>
              <w:bottom w:val="single" w:color="CCCCCC" w:sz="1"/>
              <w:right w:val="single" w:color="CCCCCC" w:sz="1"/>
            </w:tcBorders>
          </w:tcPr>
          <w:p>
            <w:pPr>
              <w:jc w:val="center"/>
            </w:pPr>
            <w:r>
              <w:t xml:space="preserve">95%</w:t>
            </w:r>
          </w:p>
        </w:tc>
        <w:tc>
          <w:tcPr>
            <w:tcW w:type="dxa" w:w="1870"/>
            <w:tcBorders>
              <w:top w:val="single" w:color="CCCCCC" w:sz="1"/>
              <w:left w:val="single" w:color="CCCCCC" w:sz="1"/>
              <w:bottom w:val="single" w:color="CCCCCC" w:sz="1"/>
              <w:right w:val="single" w:color="CCCCCC" w:sz="1"/>
            </w:tcBorders>
          </w:tcPr>
          <w:p>
            <w:pPr>
              <w:jc w:val="right"/>
            </w:pPr>
            <w:r>
              <w:t xml:space="preserve">$7,000</w:t>
            </w:r>
          </w:p>
        </w:tc>
        <w:tc>
          <w:tcPr>
            <w:tcW w:type="dxa" w:w="1410"/>
            <w:tcBorders>
              <w:top w:val="single" w:color="CCCCCC" w:sz="1"/>
              <w:left w:val="single" w:color="CCCCCC" w:sz="1"/>
              <w:bottom w:val="single" w:color="CCCCCC" w:sz="1"/>
              <w:right w:val="single" w:color="CCCCCC" w:sz="1"/>
            </w:tcBorders>
            <w:shd w:fill="E8F5E9" w:val="clear"/>
          </w:tcPr>
          <w:p>
            <w:pPr>
              <w:jc w:val="right"/>
            </w:pPr>
            <w:r>
              <w:rPr>
                <w:b/>
                <w:bCs/>
                <w:color w:val="2e7d32"/>
              </w:rPr>
              <w:t xml:space="preserve">$133,000</w:t>
            </w:r>
          </w:p>
        </w:tc>
      </w:tr>
      <w:tr>
        <w:tc>
          <w:tcPr>
            <w:tcW w:type="dxa" w:w="2340"/>
            <w:tcBorders>
              <w:top w:val="single" w:color="CCCCCC" w:sz="1"/>
              <w:left w:val="single" w:color="CCCCCC" w:sz="1"/>
              <w:bottom w:val="single" w:color="CCCCCC" w:sz="1"/>
              <w:right w:val="single" w:color="CCCCCC" w:sz="1"/>
            </w:tcBorders>
          </w:tcPr>
          <w:p>
            <w:r>
              <w:t xml:space="preserve">Legal Documentation</w:t>
            </w:r>
          </w:p>
        </w:tc>
        <w:tc>
          <w:tcPr>
            <w:tcW w:type="dxa" w:w="1870"/>
            <w:tcBorders>
              <w:top w:val="single" w:color="CCCCCC" w:sz="1"/>
              <w:left w:val="single" w:color="CCCCCC" w:sz="1"/>
              <w:bottom w:val="single" w:color="CCCCCC" w:sz="1"/>
              <w:right w:val="single" w:color="CCCCCC" w:sz="1"/>
            </w:tcBorders>
          </w:tcPr>
          <w:p>
            <w:pPr>
              <w:jc w:val="right"/>
            </w:pPr>
            <w:r>
              <w:t xml:space="preserve">$63,000</w:t>
            </w:r>
          </w:p>
        </w:tc>
        <w:tc>
          <w:tcPr>
            <w:tcW w:type="dxa" w:w="1870"/>
            <w:tcBorders>
              <w:top w:val="single" w:color="CCCCCC" w:sz="1"/>
              <w:left w:val="single" w:color="CCCCCC" w:sz="1"/>
              <w:bottom w:val="single" w:color="CCCCCC" w:sz="1"/>
              <w:right w:val="single" w:color="CCCCCC" w:sz="1"/>
            </w:tcBorders>
          </w:tcPr>
          <w:p>
            <w:pPr>
              <w:jc w:val="center"/>
            </w:pPr>
            <w:r>
              <w:t xml:space="preserve">90%</w:t>
            </w:r>
          </w:p>
        </w:tc>
        <w:tc>
          <w:tcPr>
            <w:tcW w:type="dxa" w:w="1870"/>
            <w:tcBorders>
              <w:top w:val="single" w:color="CCCCCC" w:sz="1"/>
              <w:left w:val="single" w:color="CCCCCC" w:sz="1"/>
              <w:bottom w:val="single" w:color="CCCCCC" w:sz="1"/>
              <w:right w:val="single" w:color="CCCCCC" w:sz="1"/>
            </w:tcBorders>
          </w:tcPr>
          <w:p>
            <w:pPr>
              <w:jc w:val="right"/>
            </w:pPr>
            <w:r>
              <w:t xml:space="preserve">$6,300</w:t>
            </w:r>
          </w:p>
        </w:tc>
        <w:tc>
          <w:tcPr>
            <w:tcW w:type="dxa" w:w="1410"/>
            <w:tcBorders>
              <w:top w:val="single" w:color="CCCCCC" w:sz="1"/>
              <w:left w:val="single" w:color="CCCCCC" w:sz="1"/>
              <w:bottom w:val="single" w:color="CCCCCC" w:sz="1"/>
              <w:right w:val="single" w:color="CCCCCC" w:sz="1"/>
            </w:tcBorders>
            <w:shd w:fill="E8F5E9" w:val="clear"/>
          </w:tcPr>
          <w:p>
            <w:pPr>
              <w:jc w:val="right"/>
            </w:pPr>
            <w:r>
              <w:rPr>
                <w:b/>
                <w:bCs/>
                <w:color w:val="2e7d32"/>
              </w:rPr>
              <w:t xml:space="preserve">$56,700</w:t>
            </w:r>
          </w:p>
        </w:tc>
      </w:tr>
      <w:tr>
        <w:tc>
          <w:tcPr>
            <w:tcW w:type="dxa" w:w="2340"/>
            <w:tcBorders>
              <w:top w:val="single" w:color="CCCCCC" w:sz="1"/>
              <w:left w:val="single" w:color="CCCCCC" w:sz="1"/>
              <w:bottom w:val="single" w:color="CCCCCC" w:sz="1"/>
              <w:right w:val="single" w:color="CCCCCC" w:sz="1"/>
            </w:tcBorders>
          </w:tcPr>
          <w:p>
            <w:r>
              <w:t xml:space="preserve">Draw Requests</w:t>
            </w:r>
          </w:p>
        </w:tc>
        <w:tc>
          <w:tcPr>
            <w:tcW w:type="dxa" w:w="1870"/>
            <w:tcBorders>
              <w:top w:val="single" w:color="CCCCCC" w:sz="1"/>
              <w:left w:val="single" w:color="CCCCCC" w:sz="1"/>
              <w:bottom w:val="single" w:color="CCCCCC" w:sz="1"/>
              <w:right w:val="single" w:color="CCCCCC" w:sz="1"/>
            </w:tcBorders>
          </w:tcPr>
          <w:p>
            <w:pPr>
              <w:jc w:val="right"/>
            </w:pPr>
            <w:r>
              <w:t xml:space="preserve">$31,500</w:t>
            </w:r>
          </w:p>
        </w:tc>
        <w:tc>
          <w:tcPr>
            <w:tcW w:type="dxa" w:w="1870"/>
            <w:tcBorders>
              <w:top w:val="single" w:color="CCCCCC" w:sz="1"/>
              <w:left w:val="single" w:color="CCCCCC" w:sz="1"/>
              <w:bottom w:val="single" w:color="CCCCCC" w:sz="1"/>
              <w:right w:val="single" w:color="CCCCCC" w:sz="1"/>
            </w:tcBorders>
          </w:tcPr>
          <w:p>
            <w:pPr>
              <w:jc w:val="center"/>
            </w:pPr>
            <w:r>
              <w:t xml:space="preserve">92%</w:t>
            </w:r>
          </w:p>
        </w:tc>
        <w:tc>
          <w:tcPr>
            <w:tcW w:type="dxa" w:w="1870"/>
            <w:tcBorders>
              <w:top w:val="single" w:color="CCCCCC" w:sz="1"/>
              <w:left w:val="single" w:color="CCCCCC" w:sz="1"/>
              <w:bottom w:val="single" w:color="CCCCCC" w:sz="1"/>
              <w:right w:val="single" w:color="CCCCCC" w:sz="1"/>
            </w:tcBorders>
          </w:tcPr>
          <w:p>
            <w:pPr>
              <w:jc w:val="right"/>
            </w:pPr>
            <w:r>
              <w:t xml:space="preserve">$2,520</w:t>
            </w:r>
          </w:p>
        </w:tc>
        <w:tc>
          <w:tcPr>
            <w:tcW w:type="dxa" w:w="1410"/>
            <w:tcBorders>
              <w:top w:val="single" w:color="CCCCCC" w:sz="1"/>
              <w:left w:val="single" w:color="CCCCCC" w:sz="1"/>
              <w:bottom w:val="single" w:color="CCCCCC" w:sz="1"/>
              <w:right w:val="single" w:color="CCCCCC" w:sz="1"/>
            </w:tcBorders>
            <w:shd w:fill="E8F5E9" w:val="clear"/>
          </w:tcPr>
          <w:p>
            <w:pPr>
              <w:jc w:val="right"/>
            </w:pPr>
            <w:r>
              <w:rPr>
                <w:b/>
                <w:bCs/>
                <w:color w:val="2e7d32"/>
              </w:rPr>
              <w:t xml:space="preserve">$28,980</w:t>
            </w:r>
          </w:p>
        </w:tc>
      </w:tr>
      <w:tr>
        <w:tc>
          <w:tcPr>
            <w:tcW w:type="dxa" w:w="2340"/>
            <w:tcBorders>
              <w:top w:val="single" w:color="CCCCCC" w:sz="1"/>
              <w:left w:val="single" w:color="CCCCCC" w:sz="1"/>
              <w:bottom w:val="single" w:color="CCCCCC" w:sz="1"/>
              <w:right w:val="single" w:color="CCCCCC" w:sz="1"/>
            </w:tcBorders>
          </w:tcPr>
          <w:p>
            <w:r>
              <w:t xml:space="preserve">Portfolio Reporting</w:t>
            </w:r>
          </w:p>
        </w:tc>
        <w:tc>
          <w:tcPr>
            <w:tcW w:type="dxa" w:w="1870"/>
            <w:tcBorders>
              <w:top w:val="single" w:color="CCCCCC" w:sz="1"/>
              <w:left w:val="single" w:color="CCCCCC" w:sz="1"/>
              <w:bottom w:val="single" w:color="CCCCCC" w:sz="1"/>
              <w:right w:val="single" w:color="CCCCCC" w:sz="1"/>
            </w:tcBorders>
          </w:tcPr>
          <w:p>
            <w:pPr>
              <w:jc w:val="right"/>
            </w:pPr>
            <w:r>
              <w:t xml:space="preserve">$28,000</w:t>
            </w:r>
          </w:p>
        </w:tc>
        <w:tc>
          <w:tcPr>
            <w:tcW w:type="dxa" w:w="1870"/>
            <w:tcBorders>
              <w:top w:val="single" w:color="CCCCCC" w:sz="1"/>
              <w:left w:val="single" w:color="CCCCCC" w:sz="1"/>
              <w:bottom w:val="single" w:color="CCCCCC" w:sz="1"/>
              <w:right w:val="single" w:color="CCCCCC" w:sz="1"/>
            </w:tcBorders>
          </w:tcPr>
          <w:p>
            <w:pPr>
              <w:jc w:val="center"/>
            </w:pPr>
            <w:r>
              <w:t xml:space="preserve">88%</w:t>
            </w:r>
          </w:p>
        </w:tc>
        <w:tc>
          <w:tcPr>
            <w:tcW w:type="dxa" w:w="1870"/>
            <w:tcBorders>
              <w:top w:val="single" w:color="CCCCCC" w:sz="1"/>
              <w:left w:val="single" w:color="CCCCCC" w:sz="1"/>
              <w:bottom w:val="single" w:color="CCCCCC" w:sz="1"/>
              <w:right w:val="single" w:color="CCCCCC" w:sz="1"/>
            </w:tcBorders>
          </w:tcPr>
          <w:p>
            <w:pPr>
              <w:jc w:val="right"/>
            </w:pPr>
            <w:r>
              <w:t xml:space="preserve">$3,360</w:t>
            </w:r>
          </w:p>
        </w:tc>
        <w:tc>
          <w:tcPr>
            <w:tcW w:type="dxa" w:w="1410"/>
            <w:tcBorders>
              <w:top w:val="single" w:color="CCCCCC" w:sz="1"/>
              <w:left w:val="single" w:color="CCCCCC" w:sz="1"/>
              <w:bottom w:val="single" w:color="CCCCCC" w:sz="1"/>
              <w:right w:val="single" w:color="CCCCCC" w:sz="1"/>
            </w:tcBorders>
            <w:shd w:fill="E8F5E9" w:val="clear"/>
          </w:tcPr>
          <w:p>
            <w:pPr>
              <w:jc w:val="right"/>
            </w:pPr>
            <w:r>
              <w:rPr>
                <w:b/>
                <w:bCs/>
                <w:color w:val="2e7d32"/>
              </w:rPr>
              <w:t xml:space="preserve">$24,640</w:t>
            </w:r>
          </w:p>
        </w:tc>
      </w:tr>
      <w:tr>
        <w:tc>
          <w:tcPr>
            <w:tcW w:type="dxa" w:w="2340"/>
            <w:tcBorders>
              <w:top w:val="single" w:color="CCCCCC" w:sz="1"/>
              <w:left w:val="single" w:color="CCCCCC" w:sz="1"/>
              <w:bottom w:val="single" w:color="CCCCCC" w:sz="1"/>
              <w:right w:val="single" w:color="CCCCCC" w:sz="1"/>
            </w:tcBorders>
          </w:tcPr>
          <w:p>
            <w:r>
              <w:t xml:space="preserve">Breach Management</w:t>
            </w:r>
          </w:p>
        </w:tc>
        <w:tc>
          <w:tcPr>
            <w:tcW w:type="dxa" w:w="1870"/>
            <w:tcBorders>
              <w:top w:val="single" w:color="CCCCCC" w:sz="1"/>
              <w:left w:val="single" w:color="CCCCCC" w:sz="1"/>
              <w:bottom w:val="single" w:color="CCCCCC" w:sz="1"/>
              <w:right w:val="single" w:color="CCCCCC" w:sz="1"/>
            </w:tcBorders>
          </w:tcPr>
          <w:p>
            <w:pPr>
              <w:jc w:val="right"/>
            </w:pPr>
            <w:r>
              <w:t xml:space="preserve">$5,250</w:t>
            </w:r>
          </w:p>
        </w:tc>
        <w:tc>
          <w:tcPr>
            <w:tcW w:type="dxa" w:w="1870"/>
            <w:tcBorders>
              <w:top w:val="single" w:color="CCCCCC" w:sz="1"/>
              <w:left w:val="single" w:color="CCCCCC" w:sz="1"/>
              <w:bottom w:val="single" w:color="CCCCCC" w:sz="1"/>
              <w:right w:val="single" w:color="CCCCCC" w:sz="1"/>
            </w:tcBorders>
          </w:tcPr>
          <w:p>
            <w:pPr>
              <w:jc w:val="center"/>
            </w:pPr>
            <w:r>
              <w:t xml:space="preserve">80%</w:t>
            </w:r>
          </w:p>
        </w:tc>
        <w:tc>
          <w:tcPr>
            <w:tcW w:type="dxa" w:w="1870"/>
            <w:tcBorders>
              <w:top w:val="single" w:color="CCCCCC" w:sz="1"/>
              <w:left w:val="single" w:color="CCCCCC" w:sz="1"/>
              <w:bottom w:val="single" w:color="CCCCCC" w:sz="1"/>
              <w:right w:val="single" w:color="CCCCCC" w:sz="1"/>
            </w:tcBorders>
          </w:tcPr>
          <w:p>
            <w:pPr>
              <w:jc w:val="right"/>
            </w:pPr>
            <w:r>
              <w:t xml:space="preserve">$1,050</w:t>
            </w:r>
          </w:p>
        </w:tc>
        <w:tc>
          <w:tcPr>
            <w:tcW w:type="dxa" w:w="1410"/>
            <w:tcBorders>
              <w:top w:val="single" w:color="CCCCCC" w:sz="1"/>
              <w:left w:val="single" w:color="CCCCCC" w:sz="1"/>
              <w:bottom w:val="single" w:color="CCCCCC" w:sz="1"/>
              <w:right w:val="single" w:color="CCCCCC" w:sz="1"/>
            </w:tcBorders>
            <w:shd w:fill="E8F5E9" w:val="clear"/>
          </w:tcPr>
          <w:p>
            <w:pPr>
              <w:jc w:val="right"/>
            </w:pPr>
            <w:r>
              <w:rPr>
                <w:b/>
                <w:bCs/>
                <w:color w:val="2e7d32"/>
              </w:rPr>
              <w:t xml:space="preserve">$4,200</w:t>
            </w:r>
          </w:p>
        </w:tc>
      </w:tr>
      <w:tr>
        <w:tc>
          <w:tcPr>
            <w:tcW w:type="dxa" w:w="2340"/>
            <w:tcBorders>
              <w:top w:val="single" w:color="CCCCCC" w:sz="1"/>
              <w:left w:val="single" w:color="CCCCCC" w:sz="1"/>
              <w:bottom w:val="single" w:color="CCCCCC" w:sz="1"/>
              <w:right w:val="single" w:color="CCCCCC" w:sz="1"/>
            </w:tcBorders>
            <w:shd w:fill="FFF4E6" w:val="clear"/>
          </w:tcPr>
          <w:p>
            <w:r>
              <w:rPr>
                <w:b/>
                <w:bCs/>
                <w:sz w:val="22"/>
                <w:szCs w:val="22"/>
              </w:rPr>
              <w:t xml:space="preserve">TOTAL SAVINGS</w:t>
            </w:r>
          </w:p>
        </w:tc>
        <w:tc>
          <w:tcPr>
            <w:tcW w:type="dxa" w:w="1870"/>
            <w:tcBorders>
              <w:top w:val="single" w:color="CCCCCC" w:sz="1"/>
              <w:left w:val="single" w:color="CCCCCC" w:sz="1"/>
              <w:bottom w:val="single" w:color="CCCCCC" w:sz="1"/>
              <w:right w:val="single" w:color="CCCCCC" w:sz="1"/>
            </w:tcBorders>
            <w:shd w:fill="FFF4E6" w:val="clear"/>
          </w:tcPr>
          <w:p>
            <w:pPr>
              <w:jc w:val="right"/>
            </w:pPr>
            <w:r>
              <w:rPr>
                <w:b/>
                <w:bCs/>
              </w:rPr>
              <w:t xml:space="preserve">$442,750</w:t>
            </w:r>
          </w:p>
        </w:tc>
        <w:tc>
          <w:tcPr>
            <w:tcW w:type="dxa" w:w="1870"/>
            <w:tcBorders>
              <w:top w:val="single" w:color="CCCCCC" w:sz="1"/>
              <w:left w:val="single" w:color="CCCCCC" w:sz="1"/>
              <w:bottom w:val="single" w:color="CCCCCC" w:sz="1"/>
              <w:right w:val="single" w:color="CCCCCC" w:sz="1"/>
            </w:tcBorders>
            <w:shd w:fill="FFF4E6" w:val="clear"/>
          </w:tcPr>
          <w:p>
            <w:pPr>
              <w:jc w:val="center"/>
            </w:pPr>
            <w:r>
              <w:rPr>
                <w:b/>
                <w:bCs/>
              </w:rPr>
              <w:t xml:space="preserve">90%</w:t>
            </w:r>
          </w:p>
        </w:tc>
        <w:tc>
          <w:tcPr>
            <w:tcW w:type="dxa" w:w="1870"/>
            <w:tcBorders>
              <w:top w:val="single" w:color="CCCCCC" w:sz="1"/>
              <w:left w:val="single" w:color="CCCCCC" w:sz="1"/>
              <w:bottom w:val="single" w:color="CCCCCC" w:sz="1"/>
              <w:right w:val="single" w:color="CCCCCC" w:sz="1"/>
            </w:tcBorders>
            <w:shd w:fill="FFF4E6" w:val="clear"/>
          </w:tcPr>
          <w:p>
            <w:pPr>
              <w:jc w:val="right"/>
            </w:pPr>
            <w:r>
              <w:rPr>
                <w:b/>
                <w:bCs/>
              </w:rPr>
              <w:t xml:space="preserve">$46,480</w:t>
            </w:r>
          </w:p>
        </w:tc>
        <w:tc>
          <w:tcPr>
            <w:tcW w:type="dxa" w:w="1410"/>
            <w:tcBorders>
              <w:top w:val="single" w:color="CCCCCC" w:sz="1"/>
              <w:left w:val="single" w:color="CCCCCC" w:sz="1"/>
              <w:bottom w:val="single" w:color="CCCCCC" w:sz="1"/>
              <w:right w:val="single" w:color="CCCCCC" w:sz="1"/>
            </w:tcBorders>
            <w:shd w:fill="C8E6C9" w:val="clear"/>
          </w:tcPr>
          <w:p>
            <w:pPr>
              <w:jc w:val="right"/>
            </w:pPr>
            <w:r>
              <w:rPr>
                <w:b/>
                <w:bCs/>
                <w:color w:val="1b5e20"/>
                <w:sz w:val="24"/>
                <w:szCs w:val="24"/>
              </w:rPr>
              <w:t xml:space="preserve">$396,270</w:t>
            </w:r>
          </w:p>
        </w:tc>
      </w:tr>
      <w:tr>
        <w:tc>
          <w:tcPr>
            <w:tcW w:type="dxa" w:w="2340"/>
            <w:tcBorders>
              <w:top w:val="single" w:color="CCCCCC" w:sz="1"/>
              <w:left w:val="single" w:color="CCCCCC" w:sz="1"/>
              <w:bottom w:val="single" w:color="CCCCCC" w:sz="1"/>
              <w:right w:val="single" w:color="CCCCCC" w:sz="1"/>
            </w:tcBorders>
            <w:shd w:fill="E3F2FD" w:val="clear"/>
          </w:tcPr>
          <w:p>
            <w:r>
              <w:rPr>
                <w:b/>
                <w:bCs/>
                <w:sz w:val="22"/>
                <w:szCs w:val="22"/>
              </w:rPr>
              <w:t xml:space="preserve">AlphaNAV Subscription</w:t>
            </w:r>
          </w:p>
        </w:tc>
        <w:tc>
          <w:tcPr>
            <w:tcW w:type="dxa" w:w="1870"/>
            <w:tcBorders>
              <w:top w:val="single" w:color="CCCCCC" w:sz="1"/>
              <w:left w:val="single" w:color="CCCCCC" w:sz="1"/>
              <w:bottom w:val="single" w:color="CCCCCC" w:sz="1"/>
              <w:right w:val="single" w:color="CCCCCC" w:sz="1"/>
            </w:tcBorders>
            <w:shd w:fill="E3F2FD" w:val="clear"/>
          </w:tcPr>
          <w:p>
            <w:pPr>
              <w:jc w:val="right"/>
            </w:pPr>
            <w:r>
              <w:rPr>
                <w:b/>
                <w:bCs/>
              </w:rPr>
              <w:t xml:space="preserve">—</w:t>
            </w:r>
          </w:p>
        </w:tc>
        <w:tc>
          <w:tcPr>
            <w:tcW w:type="dxa" w:w="1870"/>
            <w:tcBorders>
              <w:top w:val="single" w:color="CCCCCC" w:sz="1"/>
              <w:left w:val="single" w:color="CCCCCC" w:sz="1"/>
              <w:bottom w:val="single" w:color="CCCCCC" w:sz="1"/>
              <w:right w:val="single" w:color="CCCCCC" w:sz="1"/>
            </w:tcBorders>
            <w:shd w:fill="E3F2FD" w:val="clear"/>
          </w:tcPr>
          <w:p>
            <w:pPr>
              <w:jc w:val="center"/>
            </w:pPr>
            <w:r>
              <w:rPr>
                <w:b/>
                <w:bCs/>
              </w:rPr>
              <w:t xml:space="preserve">—</w:t>
            </w:r>
          </w:p>
        </w:tc>
        <w:tc>
          <w:tcPr>
            <w:tcW w:type="dxa" w:w="1870"/>
            <w:tcBorders>
              <w:top w:val="single" w:color="CCCCCC" w:sz="1"/>
              <w:left w:val="single" w:color="CCCCCC" w:sz="1"/>
              <w:bottom w:val="single" w:color="CCCCCC" w:sz="1"/>
              <w:right w:val="single" w:color="CCCCCC" w:sz="1"/>
            </w:tcBorders>
            <w:shd w:fill="E3F2FD" w:val="clear"/>
          </w:tcPr>
          <w:p>
            <w:pPr>
              <w:jc w:val="right"/>
            </w:pPr>
            <w:r>
              <w:rPr>
                <w:b/>
                <w:bCs/>
              </w:rPr>
              <w:t xml:space="preserve">$90,000</w:t>
            </w:r>
          </w:p>
        </w:tc>
        <w:tc>
          <w:tcPr>
            <w:tcW w:type="dxa" w:w="1410"/>
            <w:tcBorders>
              <w:top w:val="single" w:color="CCCCCC" w:sz="1"/>
              <w:left w:val="single" w:color="CCCCCC" w:sz="1"/>
              <w:bottom w:val="single" w:color="CCCCCC" w:sz="1"/>
              <w:right w:val="single" w:color="CCCCCC" w:sz="1"/>
            </w:tcBorders>
            <w:shd w:fill="E3F2FD" w:val="clear"/>
          </w:tcPr>
          <w:p>
            <w:pPr>
              <w:jc w:val="right"/>
            </w:pPr>
            <w:r>
              <w:rPr>
                <w:b/>
                <w:bCs/>
                <w:color w:val="c62828"/>
              </w:rPr>
              <w:t xml:space="preserve">($90,000)</w:t>
            </w:r>
          </w:p>
        </w:tc>
      </w:tr>
      <w:tr>
        <w:tc>
          <w:tcPr>
            <w:tcW w:type="dxa" w:w="2340"/>
            <w:tcBorders>
              <w:top w:val="single" w:color="CCCCCC" w:sz="1"/>
              <w:left w:val="single" w:color="CCCCCC" w:sz="1"/>
              <w:bottom w:val="single" w:color="CCCCCC" w:sz="1"/>
              <w:right w:val="single" w:color="CCCCCC" w:sz="1"/>
            </w:tcBorders>
            <w:shd w:fill="1a5490" w:val="clear"/>
          </w:tcPr>
          <w:p>
            <w:r>
              <w:rPr>
                <w:b/>
                <w:bCs/>
                <w:color w:val="FFFFFF"/>
                <w:sz w:val="24"/>
                <w:szCs w:val="24"/>
              </w:rPr>
              <w:t xml:space="preserve">NET OPERATIONAL ALPHA</w:t>
            </w:r>
          </w:p>
        </w:tc>
        <w:tc>
          <w:tcPr>
            <w:tcW w:type="dxa" w:w="1870"/>
            <w:tcBorders>
              <w:top w:val="single" w:color="CCCCCC" w:sz="1"/>
              <w:left w:val="single" w:color="CCCCCC" w:sz="1"/>
              <w:bottom w:val="single" w:color="CCCCCC" w:sz="1"/>
              <w:right w:val="single" w:color="CCCCCC" w:sz="1"/>
            </w:tcBorders>
            <w:shd w:fill="1a5490" w:val="clear"/>
          </w:tcPr>
          <w:p>
            <w:pPr>
              <w:jc w:val="right"/>
            </w:pPr>
            <w:r>
              <w:rPr>
                <w:b/>
                <w:bCs/>
                <w:color w:val="FFFFFF"/>
              </w:rPr>
              <w:t xml:space="preserve">—</w:t>
            </w:r>
          </w:p>
        </w:tc>
        <w:tc>
          <w:tcPr>
            <w:tcW w:type="dxa" w:w="1870"/>
            <w:tcBorders>
              <w:top w:val="single" w:color="CCCCCC" w:sz="1"/>
              <w:left w:val="single" w:color="CCCCCC" w:sz="1"/>
              <w:bottom w:val="single" w:color="CCCCCC" w:sz="1"/>
              <w:right w:val="single" w:color="CCCCCC" w:sz="1"/>
            </w:tcBorders>
            <w:shd w:fill="1a5490" w:val="clear"/>
          </w:tcPr>
          <w:p>
            <w:pPr>
              <w:jc w:val="center"/>
            </w:pPr>
            <w:r>
              <w:rPr>
                <w:b/>
                <w:bCs/>
                <w:color w:val="FFFFFF"/>
              </w:rPr>
              <w:t xml:space="preserve">—</w:t>
            </w:r>
          </w:p>
        </w:tc>
        <w:tc>
          <w:tcPr>
            <w:tcW w:type="dxa" w:w="1870"/>
            <w:tcBorders>
              <w:top w:val="single" w:color="CCCCCC" w:sz="1"/>
              <w:left w:val="single" w:color="CCCCCC" w:sz="1"/>
              <w:bottom w:val="single" w:color="CCCCCC" w:sz="1"/>
              <w:right w:val="single" w:color="CCCCCC" w:sz="1"/>
            </w:tcBorders>
            <w:shd w:fill="1a5490" w:val="clear"/>
          </w:tcPr>
          <w:p>
            <w:pPr>
              <w:jc w:val="right"/>
            </w:pPr>
            <w:r>
              <w:rPr>
                <w:b/>
                <w:bCs/>
                <w:color w:val="FFFFFF"/>
              </w:rPr>
              <w:t xml:space="preserve">—</w:t>
            </w:r>
          </w:p>
        </w:tc>
        <w:tc>
          <w:tcPr>
            <w:tcW w:type="dxa" w:w="1410"/>
            <w:tcBorders>
              <w:top w:val="single" w:color="CCCCCC" w:sz="1"/>
              <w:left w:val="single" w:color="CCCCCC" w:sz="1"/>
              <w:bottom w:val="single" w:color="CCCCCC" w:sz="1"/>
              <w:right w:val="single" w:color="CCCCCC" w:sz="1"/>
            </w:tcBorders>
            <w:shd w:fill="1a5490" w:val="clear"/>
          </w:tcPr>
          <w:p>
            <w:pPr>
              <w:jc w:val="right"/>
            </w:pPr>
            <w:r>
              <w:rPr>
                <w:b/>
                <w:bCs/>
                <w:color w:val="FFFFFF"/>
                <w:sz w:val="26"/>
                <w:szCs w:val="26"/>
              </w:rPr>
              <w:t xml:space="preserve">$306,270</w:t>
            </w:r>
          </w:p>
        </w:tc>
      </w:tr>
      <w:tr>
        <w:tc>
          <w:tcPr>
            <w:tcW w:type="dxa" w:w="2340"/>
            <w:tcBorders>
              <w:top w:val="single" w:color="CCCCCC" w:sz="1"/>
              <w:left w:val="single" w:color="CCCCCC" w:sz="1"/>
              <w:bottom w:val="single" w:color="CCCCCC" w:sz="1"/>
              <w:right w:val="single" w:color="CCCCCC" w:sz="1"/>
            </w:tcBorders>
            <w:shd w:fill="2b7bb9" w:val="clear"/>
          </w:tcPr>
          <w:p>
            <w:r>
              <w:rPr>
                <w:b/>
                <w:bCs/>
                <w:color w:val="FFFFFF"/>
                <w:sz w:val="24"/>
                <w:szCs w:val="24"/>
              </w:rPr>
              <w:t xml:space="preserve">BASIS POINTS ON $100M</w:t>
            </w:r>
          </w:p>
        </w:tc>
        <w:tc>
          <w:tcPr>
            <w:tcW w:type="dxa" w:w="1870"/>
            <w:tcBorders>
              <w:top w:val="single" w:color="CCCCCC" w:sz="1"/>
              <w:left w:val="single" w:color="CCCCCC" w:sz="1"/>
              <w:bottom w:val="single" w:color="CCCCCC" w:sz="1"/>
              <w:right w:val="single" w:color="CCCCCC" w:sz="1"/>
            </w:tcBorders>
            <w:shd w:fill="2b7bb9" w:val="clear"/>
          </w:tcPr>
          <w:p>
            <w:pPr>
              <w:jc w:val="right"/>
            </w:pPr>
            <w:r>
              <w:rPr>
                <w:b/>
                <w:bCs/>
                <w:color w:val="FFFFFF"/>
              </w:rPr>
              <w:t xml:space="preserve">—</w:t>
            </w:r>
          </w:p>
        </w:tc>
        <w:tc>
          <w:tcPr>
            <w:tcW w:type="dxa" w:w="1870"/>
            <w:tcBorders>
              <w:top w:val="single" w:color="CCCCCC" w:sz="1"/>
              <w:left w:val="single" w:color="CCCCCC" w:sz="1"/>
              <w:bottom w:val="single" w:color="CCCCCC" w:sz="1"/>
              <w:right w:val="single" w:color="CCCCCC" w:sz="1"/>
            </w:tcBorders>
            <w:shd w:fill="2b7bb9" w:val="clear"/>
          </w:tcPr>
          <w:p>
            <w:pPr>
              <w:jc w:val="center"/>
            </w:pPr>
            <w:r>
              <w:rPr>
                <w:b/>
                <w:bCs/>
                <w:color w:val="FFFFFF"/>
              </w:rPr>
              <w:t xml:space="preserve">—</w:t>
            </w:r>
          </w:p>
        </w:tc>
        <w:tc>
          <w:tcPr>
            <w:tcW w:type="dxa" w:w="1870"/>
            <w:tcBorders>
              <w:top w:val="single" w:color="CCCCCC" w:sz="1"/>
              <w:left w:val="single" w:color="CCCCCC" w:sz="1"/>
              <w:bottom w:val="single" w:color="CCCCCC" w:sz="1"/>
              <w:right w:val="single" w:color="CCCCCC" w:sz="1"/>
            </w:tcBorders>
            <w:shd w:fill="2b7bb9" w:val="clear"/>
          </w:tcPr>
          <w:p>
            <w:pPr>
              <w:jc w:val="right"/>
            </w:pPr>
            <w:r>
              <w:rPr>
                <w:b/>
                <w:bCs/>
                <w:color w:val="FFFFFF"/>
              </w:rPr>
              <w:t xml:space="preserve">—</w:t>
            </w:r>
          </w:p>
        </w:tc>
        <w:tc>
          <w:tcPr>
            <w:tcW w:type="dxa" w:w="1410"/>
            <w:tcBorders>
              <w:top w:val="single" w:color="CCCCCC" w:sz="1"/>
              <w:left w:val="single" w:color="CCCCCC" w:sz="1"/>
              <w:bottom w:val="single" w:color="CCCCCC" w:sz="1"/>
              <w:right w:val="single" w:color="CCCCCC" w:sz="1"/>
            </w:tcBorders>
            <w:shd w:fill="2b7bb9" w:val="clear"/>
          </w:tcPr>
          <w:p>
            <w:pPr>
              <w:jc w:val="right"/>
            </w:pPr>
            <w:r>
              <w:rPr>
                <w:b/>
                <w:bCs/>
                <w:color w:val="FFFFFF"/>
                <w:sz w:val="28"/>
                <w:szCs w:val="28"/>
              </w:rPr>
              <w:t xml:space="preserve">~100 BPS</w:t>
            </w:r>
          </w:p>
        </w:tc>
      </w:tr>
    </w:tbl>
    <w:p>
      <w:pPr>
        <w:spacing w:before="360" w:after="240"/>
      </w:pPr>
      <w:r>
        <w:t xml:space="preserve">Key ROI Insight: For a lender managing $100M in committed capital, AlphaNAV delivers $306K in net annual savings after subscription costs—representing approximately 100 basis points in pure operational alpha. As portfolios scale to $500M-$1B, the per-dollar basis point impact increases as platform costs remain fixed while automation benefits compound.</w:t>
      </w:r>
    </w:p>
    <w:p>
      <w:r>
        <w:br w:type="page"/>
      </w:r>
    </w:p>
    <w:p>
      <w:pPr>
        <w:pStyle w:val="Heading1"/>
      </w:pPr>
      <w:r>
        <w:t xml:space="preserve">Product Overview &amp; Technical Architecture</w:t>
      </w:r>
    </w:p>
    <w:p>
      <w:pPr>
        <w:pStyle w:val="Heading2"/>
      </w:pPr>
      <w:r>
        <w:t xml:space="preserve">Platform Design Philosophy</w:t>
      </w:r>
    </w:p>
    <w:p>
      <w:pPr>
        <w:spacing w:after="240"/>
      </w:pPr>
      <w:r>
        <w:t xml:space="preserve">AlphaNAV is architected as a modern, cloud-native SaaS platform designed for three distinct user personas (Operations Teams, Advisors, GPs) with role-specific workflows that share a common data layer. The platform emphasizes self-service onboarding, minimal configuration, and mobile-first responsive design to ensure accessibility across devices and contexts.</w:t>
      </w:r>
    </w:p>
    <w:p>
      <w:pPr>
        <w:pStyle w:val="Heading2"/>
      </w:pPr>
      <w:r>
        <w:t xml:space="preserve">Technical Stack</w:t>
      </w:r>
    </w:p>
    <w:p>
      <w:pPr>
        <w:spacing w:after="180"/>
      </w:pPr>
      <w:r>
        <w:rPr>
          <w:b/>
          <w:bCs/>
        </w:rPr>
        <w:t xml:space="preserve">Frontend Architecture:</w:t>
      </w:r>
    </w:p>
    <w:p>
      <w:pPr>
        <w:pStyle w:val="ListParagraph"/>
        <w:numPr>
          <w:ilvl w:val="0"/>
          <w:numId w:val="2"/>
        </w:numPr>
      </w:pPr>
      <w:r>
        <w:t xml:space="preserve">React 18.3+ with TypeScript for type safety and developer productivity</w:t>
      </w:r>
    </w:p>
    <w:p>
      <w:pPr>
        <w:pStyle w:val="ListParagraph"/>
        <w:numPr>
          <w:ilvl w:val="0"/>
          <w:numId w:val="2"/>
        </w:numPr>
      </w:pPr>
      <w:r>
        <w:t xml:space="preserve">Vite build system for sub-second hot module replacement and optimized production bundles</w:t>
      </w:r>
    </w:p>
    <w:p>
      <w:pPr>
        <w:pStyle w:val="ListParagraph"/>
        <w:numPr>
          <w:ilvl w:val="0"/>
          <w:numId w:val="2"/>
        </w:numPr>
      </w:pPr>
      <w:r>
        <w:t xml:space="preserve">Radix UI primitives + shadcn/ui components for accessible, composable UI elements inspired by Carbon Design System</w:t>
      </w:r>
    </w:p>
    <w:p>
      <w:pPr>
        <w:pStyle w:val="ListParagraph"/>
        <w:numPr>
          <w:ilvl w:val="0"/>
          <w:numId w:val="2"/>
        </w:numPr>
      </w:pPr>
      <w:r>
        <w:t xml:space="preserve">Tailwind CSS with dark-mode-first design and responsive breakpoints (mobile 375px, tablet 768px, desktop 1920px+)</w:t>
      </w:r>
    </w:p>
    <w:p>
      <w:pPr>
        <w:pStyle w:val="ListParagraph"/>
        <w:numPr>
          <w:ilvl w:val="0"/>
          <w:numId w:val="2"/>
        </w:numPr>
        <w:spacing w:after="180"/>
      </w:pPr>
      <w:r>
        <w:t xml:space="preserve">TanStack React Query for server state management, optimistic updates, and background data synchronization</w:t>
      </w:r>
    </w:p>
    <w:p>
      <w:pPr>
        <w:spacing w:after="180"/>
      </w:pPr>
      <w:r>
        <w:rPr>
          <w:b/>
          <w:bCs/>
        </w:rPr>
        <w:t xml:space="preserve">Backend Architecture:</w:t>
      </w:r>
    </w:p>
    <w:p>
      <w:pPr>
        <w:pStyle w:val="ListParagraph"/>
        <w:numPr>
          <w:ilvl w:val="0"/>
          <w:numId w:val="2"/>
        </w:numPr>
      </w:pPr>
      <w:r>
        <w:t xml:space="preserve">Node.js 20+ with Express.js framework for RESTful API endpoints</w:t>
      </w:r>
    </w:p>
    <w:p>
      <w:pPr>
        <w:pStyle w:val="ListParagraph"/>
        <w:numPr>
          <w:ilvl w:val="0"/>
          <w:numId w:val="2"/>
        </w:numPr>
      </w:pPr>
      <w:r>
        <w:t xml:space="preserve">PostgreSQL 15+ via Neon serverless for scalable, managed database with automatic backups</w:t>
      </w:r>
    </w:p>
    <w:p>
      <w:pPr>
        <w:pStyle w:val="ListParagraph"/>
        <w:numPr>
          <w:ilvl w:val="0"/>
          <w:numId w:val="2"/>
        </w:numPr>
      </w:pPr>
      <w:r>
        <w:t xml:space="preserve">Drizzle ORM for type-safe database queries with compile-time validation</w:t>
      </w:r>
    </w:p>
    <w:p>
      <w:pPr>
        <w:pStyle w:val="ListParagraph"/>
        <w:numPr>
          <w:ilvl w:val="0"/>
          <w:numId w:val="2"/>
        </w:numPr>
      </w:pPr>
      <w:r>
        <w:t xml:space="preserve">Replit Auth (OIDC standard) supporting Google, GitHub, X, Apple, and email/password authentication</w:t>
      </w:r>
    </w:p>
    <w:p>
      <w:pPr>
        <w:pStyle w:val="ListParagraph"/>
        <w:numPr>
          <w:ilvl w:val="0"/>
          <w:numId w:val="2"/>
        </w:numPr>
        <w:spacing w:after="180"/>
      </w:pPr>
      <w:r>
        <w:t xml:space="preserve">Session management with connect-pg-simple for encrypted sessions stored in PostgreSQL with 7-day TTL</w:t>
      </w:r>
    </w:p>
    <w:p>
      <w:pPr>
        <w:spacing w:after="180"/>
      </w:pPr>
      <w:r>
        <w:rPr>
          <w:b/>
          <w:bCs/>
        </w:rPr>
        <w:t xml:space="preserve">AI &amp; Automation Layer:</w:t>
      </w:r>
    </w:p>
    <w:p>
      <w:pPr>
        <w:pStyle w:val="ListParagraph"/>
        <w:numPr>
          <w:ilvl w:val="0"/>
          <w:numId w:val="2"/>
        </w:numPr>
      </w:pPr>
      <w:r>
        <w:t xml:space="preserve">Gemini 2.0 Flash for document extraction (fund documents, credit agreements, portfolio company data)</w:t>
      </w:r>
    </w:p>
    <w:p>
      <w:pPr>
        <w:pStyle w:val="ListParagraph"/>
        <w:numPr>
          <w:ilvl w:val="0"/>
          <w:numId w:val="2"/>
        </w:numPr>
      </w:pPr>
      <w:r>
        <w:t xml:space="preserve">Custom NLP models for covenant extraction with confidence scoring (target 98%+ accuracy)</w:t>
      </w:r>
    </w:p>
    <w:p>
      <w:pPr>
        <w:pStyle w:val="ListParagraph"/>
        <w:numPr>
          <w:ilvl w:val="0"/>
          <w:numId w:val="2"/>
        </w:numPr>
      </w:pPr>
      <w:r>
        <w:t xml:space="preserve">Automated eligibility assessment engines evaluating LTV ratios, fund structures, GP track records</w:t>
      </w:r>
    </w:p>
    <w:p>
      <w:pPr>
        <w:pStyle w:val="ListParagraph"/>
        <w:numPr>
          <w:ilvl w:val="0"/>
          <w:numId w:val="2"/>
        </w:numPr>
        <w:spacing w:after="240"/>
      </w:pPr>
      <w:r>
        <w:t xml:space="preserve">Breach risk prediction using historical covenant performance data and scenario modeling</w:t>
      </w:r>
    </w:p>
    <w:p>
      <w:pPr>
        <w:pStyle w:val="Heading2"/>
      </w:pPr>
      <w:r>
        <w:t xml:space="preserve">Database Schema Design</w:t>
      </w:r>
    </w:p>
    <w:p>
      <w:pPr>
        <w:spacing w:after="180"/>
      </w:pPr>
      <w:r>
        <w:rPr>
          <w:b/>
          <w:bCs/>
        </w:rPr>
        <w:t xml:space="preserve">The platform's data model spans 15+ core tables designed for multi-tenancy, audit trails, and extensibility:</w:t>
      </w:r>
    </w:p>
    <w:p>
      <w:pPr>
        <w:pStyle w:val="ListParagraph"/>
        <w:numPr>
          <w:ilvl w:val="0"/>
          <w:numId w:val="2"/>
        </w:numPr>
      </w:pPr>
      <w:r>
        <w:t xml:space="preserve">Users &amp; Authentication: User profiles, roles (Operations/Advisor/GP/Admin), session management</w:t>
      </w:r>
    </w:p>
    <w:p>
      <w:pPr>
        <w:pStyle w:val="ListParagraph"/>
        <w:numPr>
          <w:ilvl w:val="0"/>
          <w:numId w:val="2"/>
        </w:numPr>
      </w:pPr>
      <w:r>
        <w:t xml:space="preserve">Prospects &amp; Deals: Pipeline management, deal stages, fund details, AI extraction results</w:t>
      </w:r>
    </w:p>
    <w:p>
      <w:pPr>
        <w:pStyle w:val="ListParagraph"/>
        <w:numPr>
          <w:ilvl w:val="0"/>
          <w:numId w:val="2"/>
        </w:numPr>
      </w:pPr>
      <w:r>
        <w:t xml:space="preserve">Facilities: Active loans, terms, LTV ratios, draw/repayment history, remaining capacity</w:t>
      </w:r>
    </w:p>
    <w:p>
      <w:pPr>
        <w:pStyle w:val="ListParagraph"/>
        <w:numPr>
          <w:ilvl w:val="0"/>
          <w:numId w:val="2"/>
        </w:numPr>
      </w:pPr>
      <w:r>
        <w:t xml:space="preserve">Covenants: LTV, Minimum NAV, Diversification, Liquidity covenants with threshold configurations</w:t>
      </w:r>
    </w:p>
    <w:p>
      <w:pPr>
        <w:pStyle w:val="ListParagraph"/>
        <w:numPr>
          <w:ilvl w:val="0"/>
          <w:numId w:val="2"/>
        </w:numPr>
      </w:pPr>
      <w:r>
        <w:t xml:space="preserve">Documents: Secure vault with versioning, access controls, metadata (loan agreements, compliance certificates)</w:t>
      </w:r>
    </w:p>
    <w:p>
      <w:pPr>
        <w:pStyle w:val="ListParagraph"/>
        <w:numPr>
          <w:ilvl w:val="0"/>
          <w:numId w:val="2"/>
        </w:numPr>
      </w:pPr>
      <w:r>
        <w:t xml:space="preserve">Advisors &amp; Commissions: RFP processes, bid tracking, commission calculations, anonymized fund data</w:t>
      </w:r>
    </w:p>
    <w:p>
      <w:pPr>
        <w:pStyle w:val="ListParagraph"/>
        <w:numPr>
          <w:ilvl w:val="0"/>
          <w:numId w:val="2"/>
        </w:numPr>
        <w:spacing w:after="240"/>
      </w:pPr>
      <w:r>
        <w:t xml:space="preserve">Notifications &amp; Messages: Real-time breach alerts, draw approvals, secure GP-lender messaging</w:t>
      </w:r>
    </w:p>
    <w:p>
      <w:pPr>
        <w:pStyle w:val="Heading2"/>
      </w:pPr>
      <w:r>
        <w:t xml:space="preserve">Security &amp; Compliance</w:t>
      </w:r>
    </w:p>
    <w:p>
      <w:pPr>
        <w:spacing w:after="180"/>
      </w:pPr>
      <w:r>
        <w:rPr>
          <w:b/>
          <w:bCs/>
        </w:rPr>
        <w:t xml:space="preserve">Security is foundational to AlphaNAV's architecture, with SOC 2 Type II compliance planned for Year 1:</w:t>
      </w:r>
    </w:p>
    <w:p>
      <w:pPr>
        <w:pStyle w:val="ListParagraph"/>
        <w:numPr>
          <w:ilvl w:val="0"/>
          <w:numId w:val="2"/>
        </w:numPr>
      </w:pPr>
      <w:r>
        <w:t xml:space="preserve">Data Encryption: AES-256 encryption at rest, TLS 1.3 for data in transit</w:t>
      </w:r>
    </w:p>
    <w:p>
      <w:pPr>
        <w:pStyle w:val="ListParagraph"/>
        <w:numPr>
          <w:ilvl w:val="0"/>
          <w:numId w:val="2"/>
        </w:numPr>
      </w:pPr>
      <w:r>
        <w:t xml:space="preserve">Access Controls: Role-based permissions with least-privilege principle, multi-factor authentication support</w:t>
      </w:r>
    </w:p>
    <w:p>
      <w:pPr>
        <w:pStyle w:val="ListParagraph"/>
        <w:numPr>
          <w:ilvl w:val="0"/>
          <w:numId w:val="2"/>
        </w:numPr>
      </w:pPr>
      <w:r>
        <w:t xml:space="preserve">Audit Trails: Complete logging of all data access, modifications, and system actions with immutable timestamps</w:t>
      </w:r>
    </w:p>
    <w:p>
      <w:pPr>
        <w:pStyle w:val="ListParagraph"/>
        <w:numPr>
          <w:ilvl w:val="0"/>
          <w:numId w:val="2"/>
        </w:numPr>
      </w:pPr>
      <w:r>
        <w:t xml:space="preserve">Data Residency: Geographic data storage options for GDPR compliance (EU, US, APAC regions)</w:t>
      </w:r>
    </w:p>
    <w:p>
      <w:pPr>
        <w:pStyle w:val="ListParagraph"/>
        <w:numPr>
          <w:ilvl w:val="0"/>
          <w:numId w:val="2"/>
        </w:numPr>
      </w:pPr>
      <w:r>
        <w:t xml:space="preserve">Penetration Testing: Quarterly external security audits from accredited third-party firms</w:t>
      </w:r>
    </w:p>
    <w:p>
      <w:pPr>
        <w:pStyle w:val="ListParagraph"/>
        <w:numPr>
          <w:ilvl w:val="0"/>
          <w:numId w:val="2"/>
        </w:numPr>
        <w:spacing w:after="240"/>
      </w:pPr>
      <w:r>
        <w:t xml:space="preserve">Disaster Recovery: Automated backups every 6 hours with 99.9% uptime SLA and &lt;4 hour RTO</w:t>
      </w:r>
    </w:p>
    <w:p>
      <w:pPr>
        <w:pStyle w:val="Heading2"/>
      </w:pPr>
      <w:r>
        <w:t xml:space="preserve">Core Feature Modules</w:t>
      </w:r>
    </w:p>
    <w:p>
      <w:pPr>
        <w:spacing w:after="180"/>
      </w:pPr>
      <w:r>
        <w:rPr>
          <w:b/>
          <w:bCs/>
        </w:rPr>
        <w:t xml:space="preserve">The platform comprises eight feature-rich modules designed for the complete NAV lending lifecycle:</w:t>
      </w:r>
    </w:p>
    <w:p>
      <w:pPr>
        <w:pStyle w:val="Heading3"/>
      </w:pPr>
      <w:r>
        <w:t xml:space="preserve">1. AI-Powered Underwriting Engine</w:t>
      </w:r>
    </w:p>
    <w:p>
      <w:pPr>
        <w:pStyle w:val="ListParagraph"/>
        <w:numPr>
          <w:ilvl w:val="0"/>
          <w:numId w:val="2"/>
        </w:numPr>
      </w:pPr>
      <w:r>
        <w:t xml:space="preserve">Document Upload &amp; Parsing: Drag-and-drop interface supporting PDF, DOCX, XLSX with 50MB file size limits</w:t>
      </w:r>
    </w:p>
    <w:p>
      <w:pPr>
        <w:pStyle w:val="ListParagraph"/>
        <w:numPr>
          <w:ilvl w:val="0"/>
          <w:numId w:val="2"/>
        </w:numPr>
      </w:pPr>
      <w:r>
        <w:t xml:space="preserve">Automated Data Extraction: Fund name, AUM, vintage year, GP details, portfolio company count, fund structure (LP/GP split)</w:t>
      </w:r>
    </w:p>
    <w:p>
      <w:pPr>
        <w:pStyle w:val="ListParagraph"/>
        <w:numPr>
          <w:ilvl w:val="0"/>
          <w:numId w:val="2"/>
        </w:numPr>
      </w:pPr>
      <w:r>
        <w:t xml:space="preserve">Eligibility Scoring: 10-point assessment across fund track record, diversification, liquidity, GP quality with confidence intervals</w:t>
      </w:r>
    </w:p>
    <w:p>
      <w:pPr>
        <w:pStyle w:val="ListParagraph"/>
        <w:numPr>
          <w:ilvl w:val="0"/>
          <w:numId w:val="2"/>
        </w:numPr>
      </w:pPr>
      <w:r>
        <w:t xml:space="preserve">LTV Calculator: Real-time LTV ratio calculation with stress testing under market downturn scenarios (-20%, -40%)</w:t>
      </w:r>
    </w:p>
    <w:p>
      <w:pPr>
        <w:pStyle w:val="ListParagraph"/>
        <w:numPr>
          <w:ilvl w:val="0"/>
          <w:numId w:val="2"/>
        </w:numPr>
        <w:spacing w:after="180"/>
      </w:pPr>
      <w:r>
        <w:t xml:space="preserve">Risk Flags: Automatic highlighting of concentration risk, vintage concerns, portfolio company distress signals</w:t>
      </w:r>
    </w:p>
    <w:p>
      <w:pPr>
        <w:pStyle w:val="Heading3"/>
      </w:pPr>
      <w:r>
        <w:t xml:space="preserve">2. Covenant Monitoring Dashboard</w:t>
      </w:r>
    </w:p>
    <w:p>
      <w:pPr>
        <w:pStyle w:val="ListParagraph"/>
        <w:numPr>
          <w:ilvl w:val="0"/>
          <w:numId w:val="2"/>
        </w:numPr>
      </w:pPr>
      <w:r>
        <w:t xml:space="preserve">Four Covenant Types Supported: LTV (loan-to-value), Minimum NAV, Diversification (concentration limits), Liquidity (cash reserves)</w:t>
      </w:r>
    </w:p>
    <w:p>
      <w:pPr>
        <w:pStyle w:val="ListParagraph"/>
        <w:numPr>
          <w:ilvl w:val="0"/>
          <w:numId w:val="2"/>
        </w:numPr>
      </w:pPr>
      <w:r>
        <w:t xml:space="preserve">Status Levels: Compliant (green), Warning (yellow, within 10% of breach), Breach (red, immediate alert)</w:t>
      </w:r>
    </w:p>
    <w:p>
      <w:pPr>
        <w:pStyle w:val="ListParagraph"/>
        <w:numPr>
          <w:ilvl w:val="0"/>
          <w:numId w:val="2"/>
        </w:numPr>
      </w:pPr>
      <w:r>
        <w:t xml:space="preserve">Automated Checks: Quarterly monitoring with manual override for ad-hoc checks triggered by market events</w:t>
      </w:r>
    </w:p>
    <w:p>
      <w:pPr>
        <w:pStyle w:val="ListParagraph"/>
        <w:numPr>
          <w:ilvl w:val="0"/>
          <w:numId w:val="2"/>
        </w:numPr>
      </w:pPr>
      <w:r>
        <w:t xml:space="preserve">Breach Prediction: ML models analyzing historical data to predict covenant breach probability (30-day, 90-day horizons)</w:t>
      </w:r>
    </w:p>
    <w:p>
      <w:pPr>
        <w:pStyle w:val="ListParagraph"/>
        <w:numPr>
          <w:ilvl w:val="0"/>
          <w:numId w:val="2"/>
        </w:numPr>
        <w:spacing w:after="180"/>
      </w:pPr>
      <w:r>
        <w:t xml:space="preserve">Alert System: Slack/email notifications for breaches with customizable escalation workflows</w:t>
      </w:r>
    </w:p>
    <w:p>
      <w:pPr>
        <w:pStyle w:val="Heading3"/>
      </w:pPr>
      <w:r>
        <w:t xml:space="preserve">3. Legal Document Automation</w:t>
      </w:r>
    </w:p>
    <w:p>
      <w:pPr>
        <w:pStyle w:val="ListParagraph"/>
        <w:numPr>
          <w:ilvl w:val="0"/>
          <w:numId w:val="2"/>
        </w:numPr>
      </w:pPr>
      <w:r>
        <w:t xml:space="preserve">Template Library: Pre-built templates for Loan Agreements, Term Sheets, Compliance Certificates, Amendment Letters</w:t>
      </w:r>
    </w:p>
    <w:p>
      <w:pPr>
        <w:pStyle w:val="ListParagraph"/>
        <w:numPr>
          <w:ilvl w:val="0"/>
          <w:numId w:val="2"/>
        </w:numPr>
      </w:pPr>
      <w:r>
        <w:t xml:space="preserve">Conditional Logic: Dynamic sections based on facility structure (revolving vs. term, secured vs. unsecured)</w:t>
      </w:r>
    </w:p>
    <w:p>
      <w:pPr>
        <w:pStyle w:val="ListParagraph"/>
        <w:numPr>
          <w:ilvl w:val="0"/>
          <w:numId w:val="2"/>
        </w:numPr>
      </w:pPr>
      <w:r>
        <w:t xml:space="preserve">Variable Substitution: Automatic population of borrower names, dates, amounts, covenants from database</w:t>
      </w:r>
    </w:p>
    <w:p>
      <w:pPr>
        <w:pStyle w:val="ListParagraph"/>
        <w:numPr>
          <w:ilvl w:val="0"/>
          <w:numId w:val="2"/>
        </w:numPr>
      </w:pPr>
      <w:r>
        <w:t xml:space="preserve">Format Support: Export to PDF (execution-ready) and DOCX (attorney review)</w:t>
      </w:r>
    </w:p>
    <w:p>
      <w:pPr>
        <w:pStyle w:val="ListParagraph"/>
        <w:numPr>
          <w:ilvl w:val="0"/>
          <w:numId w:val="2"/>
        </w:numPr>
        <w:spacing w:after="180"/>
      </w:pPr>
      <w:r>
        <w:t xml:space="preserve">Version Control: Track all document versions with change logs and compare functionality</w:t>
      </w:r>
    </w:p>
    <w:p>
      <w:pPr>
        <w:pStyle w:val="Heading3"/>
      </w:pPr>
      <w:r>
        <w:t xml:space="preserve">4. Advisor RFP Portal</w:t>
      </w:r>
    </w:p>
    <w:p>
      <w:pPr>
        <w:pStyle w:val="ListParagraph"/>
        <w:numPr>
          <w:ilvl w:val="0"/>
          <w:numId w:val="2"/>
        </w:numPr>
      </w:pPr>
      <w:r>
        <w:t xml:space="preserve">Fund Anonymization: Mask fund identity while providing sufficient data for term sheets (sector, AUM range, vintage)</w:t>
      </w:r>
    </w:p>
    <w:p>
      <w:pPr>
        <w:pStyle w:val="ListParagraph"/>
        <w:numPr>
          <w:ilvl w:val="0"/>
          <w:numId w:val="2"/>
        </w:numPr>
      </w:pPr>
      <w:r>
        <w:t xml:space="preserve">Multi-Lender Bidding: Invite 5-8 lenders to submit term sheets with deadline tracking</w:t>
      </w:r>
    </w:p>
    <w:p>
      <w:pPr>
        <w:pStyle w:val="ListParagraph"/>
        <w:numPr>
          <w:ilvl w:val="0"/>
          <w:numId w:val="2"/>
        </w:numPr>
      </w:pPr>
      <w:r>
        <w:t xml:space="preserve">Bid Comparison: Side-by-side comparison of pricing, LTV ratios, covenants, legal terms across submitted bids</w:t>
      </w:r>
    </w:p>
    <w:p>
      <w:pPr>
        <w:pStyle w:val="ListParagraph"/>
        <w:numPr>
          <w:ilvl w:val="0"/>
          <w:numId w:val="2"/>
        </w:numPr>
      </w:pPr>
      <w:r>
        <w:t xml:space="preserve">Commission Calculator: Automatic calculation of advisor fees (50-75 bps) based on facility size and structure</w:t>
      </w:r>
    </w:p>
    <w:p>
      <w:pPr>
        <w:pStyle w:val="ListParagraph"/>
        <w:numPr>
          <w:ilvl w:val="0"/>
          <w:numId w:val="2"/>
        </w:numPr>
        <w:spacing w:after="180"/>
      </w:pPr>
      <w:r>
        <w:t xml:space="preserve">Market Intelligence: Aggregate anonymized market data showing median LTV, pricing, terms by segment</w:t>
      </w:r>
    </w:p>
    <w:p>
      <w:pPr>
        <w:pStyle w:val="Heading3"/>
      </w:pPr>
      <w:r>
        <w:t xml:space="preserve">5. GP Self-Service Portal</w:t>
      </w:r>
    </w:p>
    <w:p>
      <w:pPr>
        <w:pStyle w:val="ListParagraph"/>
        <w:numPr>
          <w:ilvl w:val="0"/>
          <w:numId w:val="2"/>
        </w:numPr>
      </w:pPr>
      <w:r>
        <w:t xml:space="preserve">Digital Onboarding: Guided workflow collecting fund documents, executing loan agreements via DocuSign integration</w:t>
      </w:r>
    </w:p>
    <w:p>
      <w:pPr>
        <w:pStyle w:val="ListParagraph"/>
        <w:numPr>
          <w:ilvl w:val="0"/>
          <w:numId w:val="2"/>
        </w:numPr>
      </w:pPr>
      <w:r>
        <w:t xml:space="preserve">Draw Request Interface: Submit facility draw requests with automatic capacity checking and approval routing</w:t>
      </w:r>
    </w:p>
    <w:p>
      <w:pPr>
        <w:pStyle w:val="ListParagraph"/>
        <w:numPr>
          <w:ilvl w:val="0"/>
          <w:numId w:val="2"/>
        </w:numPr>
      </w:pPr>
      <w:r>
        <w:t xml:space="preserve">Repayment Tracking: View amortization schedules, outstanding balances, upcoming payment dates</w:t>
      </w:r>
    </w:p>
    <w:p>
      <w:pPr>
        <w:pStyle w:val="ListParagraph"/>
        <w:numPr>
          <w:ilvl w:val="0"/>
          <w:numId w:val="2"/>
        </w:numPr>
      </w:pPr>
      <w:r>
        <w:t xml:space="preserve">Document Vault: Secure repository for all facility-related documents with expiring access links</w:t>
      </w:r>
    </w:p>
    <w:p>
      <w:pPr>
        <w:pStyle w:val="ListParagraph"/>
        <w:numPr>
          <w:ilvl w:val="0"/>
          <w:numId w:val="2"/>
        </w:numPr>
        <w:spacing w:after="180"/>
      </w:pPr>
      <w:r>
        <w:t xml:space="preserve">Secure Messaging: End-to-end encrypted communication channel with lenders for ad-hoc inquiries</w:t>
      </w:r>
    </w:p>
    <w:p>
      <w:pPr>
        <w:pStyle w:val="Heading3"/>
      </w:pPr>
      <w:r>
        <w:t xml:space="preserve">6. Portfolio Analytics Dashboard</w:t>
      </w:r>
    </w:p>
    <w:p>
      <w:pPr>
        <w:pStyle w:val="ListParagraph"/>
        <w:numPr>
          <w:ilvl w:val="0"/>
          <w:numId w:val="2"/>
        </w:numPr>
      </w:pPr>
      <w:r>
        <w:t xml:space="preserve">Portfolio Overview: Real-time metrics across all facilities (total committed, drawn, remaining capacity, weighted avg LTV)</w:t>
      </w:r>
    </w:p>
    <w:p>
      <w:pPr>
        <w:pStyle w:val="ListParagraph"/>
        <w:numPr>
          <w:ilvl w:val="0"/>
          <w:numId w:val="2"/>
        </w:numPr>
      </w:pPr>
      <w:r>
        <w:t xml:space="preserve">Risk Concentration: Heat maps showing exposure by fund vintage, sector, GP, geography</w:t>
      </w:r>
    </w:p>
    <w:p>
      <w:pPr>
        <w:pStyle w:val="ListParagraph"/>
        <w:numPr>
          <w:ilvl w:val="0"/>
          <w:numId w:val="2"/>
        </w:numPr>
      </w:pPr>
      <w:r>
        <w:t xml:space="preserve">Performance Metrics: ROI calculations, default rates, recovery rates with benchmark comparisons</w:t>
      </w:r>
    </w:p>
    <w:p>
      <w:pPr>
        <w:pStyle w:val="ListParagraph"/>
        <w:numPr>
          <w:ilvl w:val="0"/>
          <w:numId w:val="2"/>
        </w:numPr>
      </w:pPr>
      <w:r>
        <w:t xml:space="preserve">Scenario Analysis: Stress testing portfolio under recession scenarios with covenant breach probability forecasts</w:t>
      </w:r>
    </w:p>
    <w:p>
      <w:pPr>
        <w:pStyle w:val="ListParagraph"/>
        <w:numPr>
          <w:ilvl w:val="0"/>
          <w:numId w:val="2"/>
        </w:numPr>
        <w:spacing w:after="180"/>
      </w:pPr>
      <w:r>
        <w:t xml:space="preserve">Export Functionality: CSV export of all data for offline analysis and LP reporting</w:t>
      </w:r>
    </w:p>
    <w:p>
      <w:pPr>
        <w:pStyle w:val="Heading3"/>
      </w:pPr>
      <w:r>
        <w:t xml:space="preserve">7. Deal Pipeline Management</w:t>
      </w:r>
    </w:p>
    <w:p>
      <w:pPr>
        <w:pStyle w:val="ListParagraph"/>
        <w:numPr>
          <w:ilvl w:val="0"/>
          <w:numId w:val="2"/>
        </w:numPr>
      </w:pPr>
      <w:r>
        <w:t xml:space="preserve">Kanban Board: Visual pipeline across stages (Prospect → Underwriting → Term Sheet → Due Diligence → Closed → Active)</w:t>
      </w:r>
    </w:p>
    <w:p>
      <w:pPr>
        <w:pStyle w:val="ListParagraph"/>
        <w:numPr>
          <w:ilvl w:val="0"/>
          <w:numId w:val="2"/>
        </w:numPr>
      </w:pPr>
      <w:r>
        <w:t xml:space="preserve">CRM Integration: Sync with Salesforce, HubSpot for unified contact management</w:t>
      </w:r>
    </w:p>
    <w:p>
      <w:pPr>
        <w:pStyle w:val="ListParagraph"/>
        <w:numPr>
          <w:ilvl w:val="0"/>
          <w:numId w:val="2"/>
        </w:numPr>
      </w:pPr>
      <w:r>
        <w:t xml:space="preserve">Activity Tracking: Log all interactions (calls, emails, meetings) with automatic reminders for follow-ups</w:t>
      </w:r>
    </w:p>
    <w:p>
      <w:pPr>
        <w:pStyle w:val="ListParagraph"/>
        <w:numPr>
          <w:ilvl w:val="0"/>
          <w:numId w:val="2"/>
        </w:numPr>
      </w:pPr>
      <w:r>
        <w:t xml:space="preserve">Conversion Analytics: Funnel metrics showing conversion rates by stage, average days in pipeline, win rates</w:t>
      </w:r>
    </w:p>
    <w:p>
      <w:pPr>
        <w:pStyle w:val="ListParagraph"/>
        <w:numPr>
          <w:ilvl w:val="0"/>
          <w:numId w:val="2"/>
        </w:numPr>
        <w:spacing w:after="180"/>
      </w:pPr>
      <w:r>
        <w:t xml:space="preserve">Forecasting: Predictive models estimating quarterly deal volume based on historical patterns</w:t>
      </w:r>
    </w:p>
    <w:p>
      <w:pPr>
        <w:pStyle w:val="Heading3"/>
      </w:pPr>
      <w:r>
        <w:t xml:space="preserve">8. API &amp; Integrations</w:t>
      </w:r>
    </w:p>
    <w:p>
      <w:pPr>
        <w:pStyle w:val="ListParagraph"/>
        <w:numPr>
          <w:ilvl w:val="0"/>
          <w:numId w:val="2"/>
        </w:numPr>
      </w:pPr>
      <w:r>
        <w:t xml:space="preserve">RESTful API: Comprehensive endpoints for all platform functionality with OAuth 2.0 authentication</w:t>
      </w:r>
    </w:p>
    <w:p>
      <w:pPr>
        <w:pStyle w:val="ListParagraph"/>
        <w:numPr>
          <w:ilvl w:val="0"/>
          <w:numId w:val="2"/>
        </w:numPr>
      </w:pPr>
      <w:r>
        <w:t xml:space="preserve">Webhook Support: Real-time event notifications for covenant breaches, draw approvals, document uploads</w:t>
      </w:r>
    </w:p>
    <w:p>
      <w:pPr>
        <w:pStyle w:val="ListParagraph"/>
        <w:numPr>
          <w:ilvl w:val="0"/>
          <w:numId w:val="2"/>
        </w:numPr>
      </w:pPr>
      <w:r>
        <w:t xml:space="preserve">Fund Administrator Integrations: Pre-built connectors for SS&amp;C, Alter Domus, Apex for automated NAV data feeds</w:t>
      </w:r>
    </w:p>
    <w:p>
      <w:pPr>
        <w:pStyle w:val="ListParagraph"/>
        <w:numPr>
          <w:ilvl w:val="0"/>
          <w:numId w:val="2"/>
        </w:numPr>
      </w:pPr>
      <w:r>
        <w:t xml:space="preserve">Accounting System Sync: QuickBooks, Xero, NetSuite integration for billing and payment reconciliation</w:t>
      </w:r>
    </w:p>
    <w:p>
      <w:pPr>
        <w:pStyle w:val="ListParagraph"/>
        <w:numPr>
          <w:ilvl w:val="0"/>
          <w:numId w:val="2"/>
        </w:numPr>
        <w:spacing w:after="240"/>
      </w:pPr>
      <w:r>
        <w:t xml:space="preserve">Document Storage: S3-compatible API for programmatic document upload/retrieval</w:t>
      </w:r>
    </w:p>
    <w:p>
      <w:r>
        <w:br w:type="page"/>
      </w:r>
    </w:p>
    <w:p>
      <w:pPr>
        <w:pStyle w:val="Heading1"/>
      </w:pPr>
      <w:r>
        <w:t xml:space="preserve">Business Model &amp; Financial Projections</w:t>
      </w:r>
    </w:p>
    <w:p>
      <w:pPr>
        <w:pStyle w:val="Heading2"/>
      </w:pPr>
      <w:r>
        <w:t xml:space="preserve">Revenue Model</w:t>
      </w:r>
    </w:p>
    <w:p>
      <w:pPr>
        <w:spacing w:after="180"/>
      </w:pPr>
      <w:r>
        <w:rPr>
          <w:b/>
          <w:bCs/>
        </w:rPr>
        <w:t xml:space="preserve">AlphaNAV operates on a tiered SaaS subscription model designed to capture value across different customer segments: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1800"/>
        <w:gridCol w:w="2520"/>
        <w:gridCol w:w="2520"/>
        <w:gridCol w:w="2520"/>
      </w:tblGrid>
      <w:tr>
        <w:trPr>
          <w:tblHeader/>
        </w:trPr>
        <w:tc>
          <w:tcPr>
            <w:tcW w:type="dxa" w:w="180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Feature</w:t>
            </w:r>
          </w:p>
        </w:tc>
        <w:tc>
          <w:tcPr>
            <w:tcW w:type="dxa" w:w="252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Starter</w:t>
            </w:r>
          </w:p>
        </w:tc>
        <w:tc>
          <w:tcPr>
            <w:tcW w:type="dxa" w:w="252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Professional</w:t>
            </w:r>
          </w:p>
        </w:tc>
        <w:tc>
          <w:tcPr>
            <w:tcW w:type="dxa" w:w="252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Enterprise</w:t>
            </w:r>
          </w:p>
        </w:tc>
      </w:tr>
      <w:tr>
        <w:tc>
          <w:tcPr>
            <w:tcW w:type="dxa" w:w="1800"/>
            <w:tcBorders>
              <w:top w:val="single" w:color="CCCCCC" w:sz="1"/>
              <w:left w:val="single" w:color="CCCCCC" w:sz="1"/>
              <w:bottom w:val="single" w:color="CCCCCC" w:sz="1"/>
              <w:right w:val="single" w:color="CCCCCC" w:sz="1"/>
            </w:tcBorders>
            <w:shd w:fill="F5F5F5" w:val="clear"/>
          </w:tcPr>
          <w:p>
            <w:r>
              <w:rPr>
                <w:b/>
                <w:bCs/>
              </w:rPr>
              <w:t xml:space="preserve">Monthly Price</w:t>
            </w:r>
          </w:p>
        </w:tc>
        <w:tc>
          <w:tcPr>
            <w:tcW w:type="dxa" w:w="2520"/>
            <w:tcBorders>
              <w:top w:val="single" w:color="CCCCCC" w:sz="1"/>
              <w:left w:val="single" w:color="CCCCCC" w:sz="1"/>
              <w:bottom w:val="single" w:color="CCCCCC" w:sz="1"/>
              <w:right w:val="single" w:color="CCCCCC" w:sz="1"/>
            </w:tcBorders>
          </w:tcPr>
          <w:p>
            <w:pPr>
              <w:jc w:val="center"/>
            </w:pPr>
            <w:r>
              <w:rPr>
                <w:b/>
                <w:bCs/>
                <w:color w:val="1a5490"/>
                <w:sz w:val="24"/>
                <w:szCs w:val="24"/>
              </w:rPr>
              <w:t xml:space="preserve">$2,500</w:t>
            </w:r>
          </w:p>
        </w:tc>
        <w:tc>
          <w:tcPr>
            <w:tcW w:type="dxa" w:w="2520"/>
            <w:tcBorders>
              <w:top w:val="single" w:color="CCCCCC" w:sz="1"/>
              <w:left w:val="single" w:color="CCCCCC" w:sz="1"/>
              <w:bottom w:val="single" w:color="CCCCCC" w:sz="1"/>
              <w:right w:val="single" w:color="CCCCCC" w:sz="1"/>
            </w:tcBorders>
          </w:tcPr>
          <w:p>
            <w:pPr>
              <w:jc w:val="center"/>
            </w:pPr>
            <w:r>
              <w:rPr>
                <w:b/>
                <w:bCs/>
                <w:color w:val="1a5490"/>
                <w:sz w:val="24"/>
                <w:szCs w:val="24"/>
              </w:rPr>
              <w:t xml:space="preserve">$7,500</w:t>
            </w:r>
          </w:p>
        </w:tc>
        <w:tc>
          <w:tcPr>
            <w:tcW w:type="dxa" w:w="2520"/>
            <w:tcBorders>
              <w:top w:val="single" w:color="CCCCCC" w:sz="1"/>
              <w:left w:val="single" w:color="CCCCCC" w:sz="1"/>
              <w:bottom w:val="single" w:color="CCCCCC" w:sz="1"/>
              <w:right w:val="single" w:color="CCCCCC" w:sz="1"/>
            </w:tcBorders>
          </w:tcPr>
          <w:p>
            <w:pPr>
              <w:jc w:val="center"/>
            </w:pPr>
            <w:r>
              <w:rPr>
                <w:b/>
                <w:bCs/>
                <w:color w:val="1a5490"/>
                <w:sz w:val="24"/>
                <w:szCs w:val="24"/>
              </w:rPr>
              <w:t xml:space="preserve">Custom</w:t>
            </w:r>
          </w:p>
        </w:tc>
      </w:tr>
      <w:tr>
        <w:tc>
          <w:tcPr>
            <w:tcW w:type="dxa" w:w="1800"/>
            <w:tcBorders>
              <w:top w:val="single" w:color="CCCCCC" w:sz="1"/>
              <w:left w:val="single" w:color="CCCCCC" w:sz="1"/>
              <w:bottom w:val="single" w:color="CCCCCC" w:sz="1"/>
              <w:right w:val="single" w:color="CCCCCC" w:sz="1"/>
            </w:tcBorders>
            <w:shd w:fill="F5F5F5" w:val="clear"/>
          </w:tcPr>
          <w:p>
            <w:r>
              <w:rPr>
                <w:b/>
                <w:bCs/>
              </w:rPr>
              <w:t xml:space="preserve">Active Facilities</w:t>
            </w:r>
          </w:p>
        </w:tc>
        <w:tc>
          <w:tcPr>
            <w:tcW w:type="dxa" w:w="2520"/>
            <w:tcBorders>
              <w:top w:val="single" w:color="CCCCCC" w:sz="1"/>
              <w:left w:val="single" w:color="CCCCCC" w:sz="1"/>
              <w:bottom w:val="single" w:color="CCCCCC" w:sz="1"/>
              <w:right w:val="single" w:color="CCCCCC" w:sz="1"/>
            </w:tcBorders>
          </w:tcPr>
          <w:p>
            <w:pPr>
              <w:jc w:val="center"/>
            </w:pPr>
            <w:r>
              <w:t xml:space="preserve">Up to 5</w:t>
            </w:r>
          </w:p>
        </w:tc>
        <w:tc>
          <w:tcPr>
            <w:tcW w:type="dxa" w:w="2520"/>
            <w:tcBorders>
              <w:top w:val="single" w:color="CCCCCC" w:sz="1"/>
              <w:left w:val="single" w:color="CCCCCC" w:sz="1"/>
              <w:bottom w:val="single" w:color="CCCCCC" w:sz="1"/>
              <w:right w:val="single" w:color="CCCCCC" w:sz="1"/>
            </w:tcBorders>
          </w:tcPr>
          <w:p>
            <w:pPr>
              <w:jc w:val="center"/>
            </w:pPr>
            <w:r>
              <w:t xml:space="preserve">Up to 20</w:t>
            </w:r>
          </w:p>
        </w:tc>
        <w:tc>
          <w:tcPr>
            <w:tcW w:type="dxa" w:w="2520"/>
            <w:tcBorders>
              <w:top w:val="single" w:color="CCCCCC" w:sz="1"/>
              <w:left w:val="single" w:color="CCCCCC" w:sz="1"/>
              <w:bottom w:val="single" w:color="CCCCCC" w:sz="1"/>
              <w:right w:val="single" w:color="CCCCCC" w:sz="1"/>
            </w:tcBorders>
          </w:tcPr>
          <w:p>
            <w:pPr>
              <w:jc w:val="center"/>
            </w:pPr>
            <w:r>
              <w:t xml:space="preserve">Unlimited</w:t>
            </w:r>
          </w:p>
        </w:tc>
      </w:tr>
      <w:tr>
        <w:tc>
          <w:tcPr>
            <w:tcW w:type="dxa" w:w="1800"/>
            <w:tcBorders>
              <w:top w:val="single" w:color="CCCCCC" w:sz="1"/>
              <w:left w:val="single" w:color="CCCCCC" w:sz="1"/>
              <w:bottom w:val="single" w:color="CCCCCC" w:sz="1"/>
              <w:right w:val="single" w:color="CCCCCC" w:sz="1"/>
            </w:tcBorders>
            <w:shd w:fill="F5F5F5" w:val="clear"/>
          </w:tcPr>
          <w:p>
            <w:r>
              <w:t xml:space="preserve">AI Document Extraction</w:t>
            </w:r>
          </w:p>
        </w:tc>
        <w:tc>
          <w:tcPr>
            <w:tcW w:type="dxa" w:w="2520"/>
            <w:tcBorders>
              <w:top w:val="single" w:color="CCCCCC" w:sz="1"/>
              <w:left w:val="single" w:color="CCCCCC" w:sz="1"/>
              <w:bottom w:val="single" w:color="CCCCCC" w:sz="1"/>
              <w:right w:val="single" w:color="CCCCCC" w:sz="1"/>
            </w:tcBorders>
          </w:tcPr>
          <w:p>
            <w:pPr>
              <w:jc w:val="center"/>
            </w:pPr>
            <w:r>
              <w:t xml:space="preserve">Basic</w:t>
            </w:r>
          </w:p>
        </w:tc>
        <w:tc>
          <w:tcPr>
            <w:tcW w:type="dxa" w:w="2520"/>
            <w:tcBorders>
              <w:top w:val="single" w:color="CCCCCC" w:sz="1"/>
              <w:left w:val="single" w:color="CCCCCC" w:sz="1"/>
              <w:bottom w:val="single" w:color="CCCCCC" w:sz="1"/>
              <w:right w:val="single" w:color="CCCCCC" w:sz="1"/>
            </w:tcBorders>
          </w:tcPr>
          <w:p>
            <w:pPr>
              <w:jc w:val="center"/>
            </w:pPr>
            <w:r>
              <w:t xml:space="preserve">Advanced</w:t>
            </w:r>
          </w:p>
        </w:tc>
        <w:tc>
          <w:tcPr>
            <w:tcW w:type="dxa" w:w="2520"/>
            <w:tcBorders>
              <w:top w:val="single" w:color="CCCCCC" w:sz="1"/>
              <w:left w:val="single" w:color="CCCCCC" w:sz="1"/>
              <w:bottom w:val="single" w:color="CCCCCC" w:sz="1"/>
              <w:right w:val="single" w:color="CCCCCC" w:sz="1"/>
            </w:tcBorders>
          </w:tcPr>
          <w:p>
            <w:pPr>
              <w:jc w:val="center"/>
            </w:pPr>
            <w:r>
              <w:t xml:space="preserve">Advanced</w:t>
            </w:r>
          </w:p>
        </w:tc>
      </w:tr>
      <w:tr>
        <w:tc>
          <w:tcPr>
            <w:tcW w:type="dxa" w:w="1800"/>
            <w:tcBorders>
              <w:top w:val="single" w:color="CCCCCC" w:sz="1"/>
              <w:left w:val="single" w:color="CCCCCC" w:sz="1"/>
              <w:bottom w:val="single" w:color="CCCCCC" w:sz="1"/>
              <w:right w:val="single" w:color="CCCCCC" w:sz="1"/>
            </w:tcBorders>
            <w:shd w:fill="F5F5F5" w:val="clear"/>
          </w:tcPr>
          <w:p>
            <w:r>
              <w:t xml:space="preserve">Covenant Monitoring</w:t>
            </w:r>
          </w:p>
        </w:tc>
        <w:tc>
          <w:tcPr>
            <w:tcW w:type="dxa" w:w="2520"/>
            <w:tcBorders>
              <w:top w:val="single" w:color="CCCCCC" w:sz="1"/>
              <w:left w:val="single" w:color="CCCCCC" w:sz="1"/>
              <w:bottom w:val="single" w:color="CCCCCC" w:sz="1"/>
              <w:right w:val="single" w:color="CCCCCC" w:sz="1"/>
            </w:tcBorders>
          </w:tcPr>
          <w:p>
            <w:pPr>
              <w:jc w:val="center"/>
            </w:pPr>
            <w:r>
              <w:t xml:space="preserve">Quarterly</w:t>
            </w:r>
          </w:p>
        </w:tc>
        <w:tc>
          <w:tcPr>
            <w:tcW w:type="dxa" w:w="2520"/>
            <w:tcBorders>
              <w:top w:val="single" w:color="CCCCCC" w:sz="1"/>
              <w:left w:val="single" w:color="CCCCCC" w:sz="1"/>
              <w:bottom w:val="single" w:color="CCCCCC" w:sz="1"/>
              <w:right w:val="single" w:color="CCCCCC" w:sz="1"/>
            </w:tcBorders>
          </w:tcPr>
          <w:p>
            <w:pPr>
              <w:jc w:val="center"/>
            </w:pPr>
            <w:r>
              <w:t xml:space="preserve">Real-time</w:t>
            </w:r>
          </w:p>
        </w:tc>
        <w:tc>
          <w:tcPr>
            <w:tcW w:type="dxa" w:w="2520"/>
            <w:tcBorders>
              <w:top w:val="single" w:color="CCCCCC" w:sz="1"/>
              <w:left w:val="single" w:color="CCCCCC" w:sz="1"/>
              <w:bottom w:val="single" w:color="CCCCCC" w:sz="1"/>
              <w:right w:val="single" w:color="CCCCCC" w:sz="1"/>
            </w:tcBorders>
          </w:tcPr>
          <w:p>
            <w:pPr>
              <w:jc w:val="center"/>
            </w:pPr>
            <w:r>
              <w:t xml:space="preserve">Real-time + Predictive</w:t>
            </w:r>
          </w:p>
        </w:tc>
      </w:tr>
      <w:tr>
        <w:tc>
          <w:tcPr>
            <w:tcW w:type="dxa" w:w="1800"/>
            <w:tcBorders>
              <w:top w:val="single" w:color="CCCCCC" w:sz="1"/>
              <w:left w:val="single" w:color="CCCCCC" w:sz="1"/>
              <w:bottom w:val="single" w:color="CCCCCC" w:sz="1"/>
              <w:right w:val="single" w:color="CCCCCC" w:sz="1"/>
            </w:tcBorders>
            <w:shd w:fill="F5F5F5" w:val="clear"/>
          </w:tcPr>
          <w:p>
            <w:r>
              <w:t xml:space="preserve">Legal Templates</w:t>
            </w:r>
          </w:p>
        </w:tc>
        <w:tc>
          <w:tcPr>
            <w:tcW w:type="dxa" w:w="2520"/>
            <w:tcBorders>
              <w:top w:val="single" w:color="CCCCCC" w:sz="1"/>
              <w:left w:val="single" w:color="CCCCCC" w:sz="1"/>
              <w:bottom w:val="single" w:color="CCCCCC" w:sz="1"/>
              <w:right w:val="single" w:color="CCCCCC" w:sz="1"/>
            </w:tcBorders>
          </w:tcPr>
          <w:p>
            <w:pPr>
              <w:jc w:val="center"/>
            </w:pPr>
            <w:r>
              <w:t xml:space="preserve">Standard</w:t>
            </w:r>
          </w:p>
        </w:tc>
        <w:tc>
          <w:tcPr>
            <w:tcW w:type="dxa" w:w="2520"/>
            <w:tcBorders>
              <w:top w:val="single" w:color="CCCCCC" w:sz="1"/>
              <w:left w:val="single" w:color="CCCCCC" w:sz="1"/>
              <w:bottom w:val="single" w:color="CCCCCC" w:sz="1"/>
              <w:right w:val="single" w:color="CCCCCC" w:sz="1"/>
            </w:tcBorders>
          </w:tcPr>
          <w:p>
            <w:pPr>
              <w:jc w:val="center"/>
            </w:pPr>
            <w:r>
              <w:t xml:space="preserve">Standard + Custom</w:t>
            </w:r>
          </w:p>
        </w:tc>
        <w:tc>
          <w:tcPr>
            <w:tcW w:type="dxa" w:w="2520"/>
            <w:tcBorders>
              <w:top w:val="single" w:color="CCCCCC" w:sz="1"/>
              <w:left w:val="single" w:color="CCCCCC" w:sz="1"/>
              <w:bottom w:val="single" w:color="CCCCCC" w:sz="1"/>
              <w:right w:val="single" w:color="CCCCCC" w:sz="1"/>
            </w:tcBorders>
          </w:tcPr>
          <w:p>
            <w:pPr>
              <w:jc w:val="center"/>
            </w:pPr>
            <w:r>
              <w:t xml:space="preserve">Fully Custom</w:t>
            </w:r>
          </w:p>
        </w:tc>
      </w:tr>
      <w:tr>
        <w:tc>
          <w:tcPr>
            <w:tcW w:type="dxa" w:w="1800"/>
            <w:tcBorders>
              <w:top w:val="single" w:color="CCCCCC" w:sz="1"/>
              <w:left w:val="single" w:color="CCCCCC" w:sz="1"/>
              <w:bottom w:val="single" w:color="CCCCCC" w:sz="1"/>
              <w:right w:val="single" w:color="CCCCCC" w:sz="1"/>
            </w:tcBorders>
            <w:shd w:fill="F5F5F5" w:val="clear"/>
          </w:tcPr>
          <w:p>
            <w:r>
              <w:t xml:space="preserve">API Access</w:t>
            </w:r>
          </w:p>
        </w:tc>
        <w:tc>
          <w:tcPr>
            <w:tcW w:type="dxa" w:w="2520"/>
            <w:tcBorders>
              <w:top w:val="single" w:color="CCCCCC" w:sz="1"/>
              <w:left w:val="single" w:color="CCCCCC" w:sz="1"/>
              <w:bottom w:val="single" w:color="CCCCCC" w:sz="1"/>
              <w:right w:val="single" w:color="CCCCCC" w:sz="1"/>
            </w:tcBorders>
          </w:tcPr>
          <w:p>
            <w:pPr>
              <w:jc w:val="center"/>
            </w:pPr>
            <w:r>
              <w:rPr>
                <w:color w:val="808080"/>
              </w:rPr>
              <w:t xml:space="preserve">No</w:t>
            </w:r>
          </w:p>
        </w:tc>
        <w:tc>
          <w:tcPr>
            <w:tcW w:type="dxa" w:w="2520"/>
            <w:tcBorders>
              <w:top w:val="single" w:color="CCCCCC" w:sz="1"/>
              <w:left w:val="single" w:color="CCCCCC" w:sz="1"/>
              <w:bottom w:val="single" w:color="CCCCCC" w:sz="1"/>
              <w:right w:val="single" w:color="CCCCCC" w:sz="1"/>
            </w:tcBorders>
          </w:tcPr>
          <w:p>
            <w:pPr>
              <w:jc w:val="center"/>
            </w:pPr>
            <w:r>
              <w:t xml:space="preserve">Yes</w:t>
            </w:r>
          </w:p>
        </w:tc>
        <w:tc>
          <w:tcPr>
            <w:tcW w:type="dxa" w:w="2520"/>
            <w:tcBorders>
              <w:top w:val="single" w:color="CCCCCC" w:sz="1"/>
              <w:left w:val="single" w:color="CCCCCC" w:sz="1"/>
              <w:bottom w:val="single" w:color="CCCCCC" w:sz="1"/>
              <w:right w:val="single" w:color="CCCCCC" w:sz="1"/>
            </w:tcBorders>
          </w:tcPr>
          <w:p>
            <w:pPr>
              <w:jc w:val="center"/>
            </w:pPr>
            <w:r>
              <w:t xml:space="preserve">Yes + Priority</w:t>
            </w:r>
          </w:p>
        </w:tc>
      </w:tr>
      <w:tr>
        <w:tc>
          <w:tcPr>
            <w:tcW w:type="dxa" w:w="1800"/>
            <w:tcBorders>
              <w:top w:val="single" w:color="CCCCCC" w:sz="1"/>
              <w:left w:val="single" w:color="CCCCCC" w:sz="1"/>
              <w:bottom w:val="single" w:color="CCCCCC" w:sz="1"/>
              <w:right w:val="single" w:color="CCCCCC" w:sz="1"/>
            </w:tcBorders>
            <w:shd w:fill="F5F5F5" w:val="clear"/>
          </w:tcPr>
          <w:p>
            <w:r>
              <w:t xml:space="preserve">Support</w:t>
            </w:r>
          </w:p>
        </w:tc>
        <w:tc>
          <w:tcPr>
            <w:tcW w:type="dxa" w:w="2520"/>
            <w:tcBorders>
              <w:top w:val="single" w:color="CCCCCC" w:sz="1"/>
              <w:left w:val="single" w:color="CCCCCC" w:sz="1"/>
              <w:bottom w:val="single" w:color="CCCCCC" w:sz="1"/>
              <w:right w:val="single" w:color="CCCCCC" w:sz="1"/>
            </w:tcBorders>
          </w:tcPr>
          <w:p>
            <w:pPr>
              <w:jc w:val="center"/>
            </w:pPr>
            <w:r>
              <w:t xml:space="preserve">Email</w:t>
            </w:r>
          </w:p>
        </w:tc>
        <w:tc>
          <w:tcPr>
            <w:tcW w:type="dxa" w:w="2520"/>
            <w:tcBorders>
              <w:top w:val="single" w:color="CCCCCC" w:sz="1"/>
              <w:left w:val="single" w:color="CCCCCC" w:sz="1"/>
              <w:bottom w:val="single" w:color="CCCCCC" w:sz="1"/>
              <w:right w:val="single" w:color="CCCCCC" w:sz="1"/>
            </w:tcBorders>
          </w:tcPr>
          <w:p>
            <w:pPr>
              <w:jc w:val="center"/>
            </w:pPr>
            <w:r>
              <w:t xml:space="preserve">Email + Slack</w:t>
            </w:r>
          </w:p>
        </w:tc>
        <w:tc>
          <w:tcPr>
            <w:tcW w:type="dxa" w:w="2520"/>
            <w:tcBorders>
              <w:top w:val="single" w:color="CCCCCC" w:sz="1"/>
              <w:left w:val="single" w:color="CCCCCC" w:sz="1"/>
              <w:bottom w:val="single" w:color="CCCCCC" w:sz="1"/>
              <w:right w:val="single" w:color="CCCCCC" w:sz="1"/>
            </w:tcBorders>
          </w:tcPr>
          <w:p>
            <w:pPr>
              <w:jc w:val="center"/>
            </w:pPr>
            <w:r>
              <w:t xml:space="preserve">Dedicated CSM</w:t>
            </w:r>
          </w:p>
        </w:tc>
      </w:tr>
      <w:tr>
        <w:tc>
          <w:tcPr>
            <w:tcW w:type="dxa" w:w="1800"/>
            <w:tcBorders>
              <w:top w:val="single" w:color="CCCCCC" w:sz="1"/>
              <w:left w:val="single" w:color="CCCCCC" w:sz="1"/>
              <w:bottom w:val="single" w:color="CCCCCC" w:sz="1"/>
              <w:right w:val="single" w:color="CCCCCC" w:sz="1"/>
            </w:tcBorders>
            <w:shd w:fill="F5F5F5" w:val="clear"/>
          </w:tcPr>
          <w:p>
            <w:r>
              <w:t xml:space="preserve">White-Label</w:t>
            </w:r>
          </w:p>
        </w:tc>
        <w:tc>
          <w:tcPr>
            <w:tcW w:type="dxa" w:w="2520"/>
            <w:tcBorders>
              <w:top w:val="single" w:color="CCCCCC" w:sz="1"/>
              <w:left w:val="single" w:color="CCCCCC" w:sz="1"/>
              <w:bottom w:val="single" w:color="CCCCCC" w:sz="1"/>
              <w:right w:val="single" w:color="CCCCCC" w:sz="1"/>
            </w:tcBorders>
          </w:tcPr>
          <w:p>
            <w:pPr>
              <w:jc w:val="center"/>
            </w:pPr>
            <w:r>
              <w:rPr>
                <w:color w:val="808080"/>
              </w:rPr>
              <w:t xml:space="preserve">No</w:t>
            </w:r>
          </w:p>
        </w:tc>
        <w:tc>
          <w:tcPr>
            <w:tcW w:type="dxa" w:w="2520"/>
            <w:tcBorders>
              <w:top w:val="single" w:color="CCCCCC" w:sz="1"/>
              <w:left w:val="single" w:color="CCCCCC" w:sz="1"/>
              <w:bottom w:val="single" w:color="CCCCCC" w:sz="1"/>
              <w:right w:val="single" w:color="CCCCCC" w:sz="1"/>
            </w:tcBorders>
          </w:tcPr>
          <w:p>
            <w:pPr>
              <w:jc w:val="center"/>
            </w:pPr>
            <w:r>
              <w:rPr>
                <w:color w:val="808080"/>
              </w:rPr>
              <w:t xml:space="preserve">No</w:t>
            </w:r>
          </w:p>
        </w:tc>
        <w:tc>
          <w:tcPr>
            <w:tcW w:type="dxa" w:w="2520"/>
            <w:tcBorders>
              <w:top w:val="single" w:color="CCCCCC" w:sz="1"/>
              <w:left w:val="single" w:color="CCCCCC" w:sz="1"/>
              <w:bottom w:val="single" w:color="CCCCCC" w:sz="1"/>
              <w:right w:val="single" w:color="CCCCCC" w:sz="1"/>
            </w:tcBorders>
          </w:tcPr>
          <w:p>
            <w:pPr>
              <w:jc w:val="center"/>
            </w:pPr>
            <w:r>
              <w:t xml:space="preserve">Available</w:t>
            </w:r>
          </w:p>
        </w:tc>
      </w:tr>
    </w:tbl>
    <w:p>
      <w:pPr>
        <w:spacing w:before="240" w:after="240"/>
      </w:pPr>
      <w:r>
        <w:t xml:space="preserve">Average Contract Value (ACV) analysis suggests typical customers will select Professional tier ($90K annually) given that most NAV lenders manage 15-25 facilities. Enterprise tier customers are expected to comprise 15-20% of the base, driven by larger platforms seeking white-label deployment or multi-entity structures.</w:t>
      </w:r>
    </w:p>
    <w:p>
      <w:pPr>
        <w:pStyle w:val="Heading2"/>
      </w:pPr>
      <w:r>
        <w:t xml:space="preserve">Unit Economics</w:t>
      </w:r>
    </w:p>
    <w:p>
      <w:pPr>
        <w:spacing w:after="180"/>
      </w:pPr>
      <w:r>
        <w:rPr>
          <w:b/>
          <w:bCs/>
        </w:rPr>
        <w:t xml:space="preserve">The SaaS business model delivers highly attractive unit economics once platform development is complete:</w:t>
      </w:r>
    </w:p>
    <w:p>
      <w:pPr>
        <w:pStyle w:val="ListParagraph"/>
        <w:numPr>
          <w:ilvl w:val="0"/>
          <w:numId w:val="2"/>
        </w:numPr>
      </w:pPr>
      <w:r>
        <w:t xml:space="preserve">Gross Margin: 85%+ (typical SaaS infrastructure costs: hosting $3K/month, AI API $8K/month at scale)</w:t>
      </w:r>
    </w:p>
    <w:p>
      <w:pPr>
        <w:pStyle w:val="ListParagraph"/>
        <w:numPr>
          <w:ilvl w:val="0"/>
          <w:numId w:val="2"/>
        </w:numPr>
      </w:pPr>
      <w:r>
        <w:t xml:space="preserve">Customer Acquisition Cost (CAC): $8K per customer (conference sponsorships, content marketing, outbound sales)</w:t>
      </w:r>
    </w:p>
    <w:p>
      <w:pPr>
        <w:pStyle w:val="ListParagraph"/>
        <w:numPr>
          <w:ilvl w:val="0"/>
          <w:numId w:val="2"/>
        </w:numPr>
      </w:pPr>
      <w:r>
        <w:t xml:space="preserve">Customer Lifetime Value (LTV): $180K (assumes $60K ACV, 3-year retention, 10% annual churn)</w:t>
      </w:r>
    </w:p>
    <w:p>
      <w:pPr>
        <w:pStyle w:val="ListParagraph"/>
        <w:numPr>
          <w:ilvl w:val="0"/>
          <w:numId w:val="2"/>
        </w:numPr>
      </w:pPr>
      <w:r>
        <w:t xml:space="preserve">LTV:CAC Ratio: 22.5:1 (exceptional for B2B SaaS, driven by low churn in sticky financial infrastructure)</w:t>
      </w:r>
    </w:p>
    <w:p>
      <w:pPr>
        <w:pStyle w:val="ListParagraph"/>
        <w:numPr>
          <w:ilvl w:val="0"/>
          <w:numId w:val="2"/>
        </w:numPr>
      </w:pPr>
      <w:r>
        <w:t xml:space="preserve">Payback Period: 2 months (CAC recovered in first two months of subscription)</w:t>
      </w:r>
    </w:p>
    <w:p>
      <w:pPr>
        <w:pStyle w:val="ListParagraph"/>
        <w:numPr>
          <w:ilvl w:val="0"/>
          <w:numId w:val="2"/>
        </w:numPr>
        <w:spacing w:after="240"/>
      </w:pPr>
      <w:r>
        <w:t xml:space="preserve">Net Dollar Retention: 120% (expansion revenue from facility count growth, feature upgrades)</w:t>
      </w:r>
    </w:p>
    <w:p>
      <w:pPr>
        <w:pStyle w:val="Heading2"/>
      </w:pPr>
      <w:r>
        <w:t xml:space="preserve">Financial Projections (3-Year)</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2080"/>
        <w:gridCol w:w="2080"/>
        <w:gridCol w:w="2080"/>
      </w:tblGrid>
      <w:tr>
        <w:trPr>
          <w:tblHeader/>
        </w:trPr>
        <w:tc>
          <w:tcPr>
            <w:tcW w:type="dxa" w:w="312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Metric</w:t>
            </w:r>
          </w:p>
        </w:tc>
        <w:tc>
          <w:tcPr>
            <w:tcW w:type="dxa" w:w="208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Year 1</w:t>
            </w:r>
          </w:p>
        </w:tc>
        <w:tc>
          <w:tcPr>
            <w:tcW w:type="dxa" w:w="208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Year 2</w:t>
            </w:r>
          </w:p>
        </w:tc>
        <w:tc>
          <w:tcPr>
            <w:tcW w:type="dxa" w:w="2080"/>
            <w:tcBorders>
              <w:top w:val="single" w:color="CCCCCC" w:sz="1"/>
              <w:left w:val="single" w:color="CCCCCC" w:sz="1"/>
              <w:bottom w:val="single" w:color="CCCCCC" w:sz="1"/>
              <w:right w:val="single" w:color="CCCCCC" w:sz="1"/>
            </w:tcBorders>
            <w:shd w:fill="1a5490" w:val="clear"/>
          </w:tcPr>
          <w:p>
            <w:pPr>
              <w:jc w:val="center"/>
            </w:pPr>
            <w:r>
              <w:rPr>
                <w:b/>
                <w:bCs/>
                <w:color w:val="FFFFFF"/>
                <w:sz w:val="20"/>
                <w:szCs w:val="20"/>
              </w:rPr>
              <w:t xml:space="preserve">Year 3</w:t>
            </w:r>
          </w:p>
        </w:tc>
      </w:tr>
      <w:tr>
        <w:tc>
          <w:tcPr>
            <w:tcW w:type="dxa" w:w="3120"/>
            <w:tcBorders>
              <w:top w:val="single" w:color="CCCCCC" w:sz="1"/>
              <w:left w:val="single" w:color="CCCCCC" w:sz="1"/>
              <w:bottom w:val="single" w:color="CCCCCC" w:sz="1"/>
              <w:right w:val="single" w:color="CCCCCC" w:sz="1"/>
            </w:tcBorders>
          </w:tcPr>
          <w:p>
            <w:r>
              <w:rPr>
                <w:b/>
                <w:bCs/>
              </w:rPr>
              <w:t xml:space="preserve">Total Customers</w:t>
            </w:r>
          </w:p>
        </w:tc>
        <w:tc>
          <w:tcPr>
            <w:tcW w:type="dxa" w:w="2080"/>
            <w:tcBorders>
              <w:top w:val="single" w:color="CCCCCC" w:sz="1"/>
              <w:left w:val="single" w:color="CCCCCC" w:sz="1"/>
              <w:bottom w:val="single" w:color="CCCCCC" w:sz="1"/>
              <w:right w:val="single" w:color="CCCCCC" w:sz="1"/>
            </w:tcBorders>
          </w:tcPr>
          <w:p>
            <w:pPr>
              <w:jc w:val="right"/>
            </w:pPr>
            <w:r>
              <w:rPr>
                <w:b/>
                <w:bCs/>
              </w:rPr>
              <w:t xml:space="preserve">12</w:t>
            </w:r>
          </w:p>
        </w:tc>
        <w:tc>
          <w:tcPr>
            <w:tcW w:type="dxa" w:w="2080"/>
            <w:tcBorders>
              <w:top w:val="single" w:color="CCCCCC" w:sz="1"/>
              <w:left w:val="single" w:color="CCCCCC" w:sz="1"/>
              <w:bottom w:val="single" w:color="CCCCCC" w:sz="1"/>
              <w:right w:val="single" w:color="CCCCCC" w:sz="1"/>
            </w:tcBorders>
          </w:tcPr>
          <w:p>
            <w:pPr>
              <w:jc w:val="right"/>
            </w:pPr>
            <w:r>
              <w:rPr>
                <w:b/>
                <w:bCs/>
              </w:rPr>
              <w:t xml:space="preserve">32</w:t>
            </w:r>
          </w:p>
        </w:tc>
        <w:tc>
          <w:tcPr>
            <w:tcW w:type="dxa" w:w="2080"/>
            <w:tcBorders>
              <w:top w:val="single" w:color="CCCCCC" w:sz="1"/>
              <w:left w:val="single" w:color="CCCCCC" w:sz="1"/>
              <w:bottom w:val="single" w:color="CCCCCC" w:sz="1"/>
              <w:right w:val="single" w:color="CCCCCC" w:sz="1"/>
            </w:tcBorders>
          </w:tcPr>
          <w:p>
            <w:pPr>
              <w:jc w:val="right"/>
            </w:pPr>
            <w:r>
              <w:rPr>
                <w:b/>
                <w:bCs/>
              </w:rPr>
              <w:t xml:space="preserve">65</w:t>
            </w:r>
          </w:p>
        </w:tc>
      </w:tr>
      <w:tr>
        <w:tc>
          <w:tcPr>
            <w:tcW w:type="dxa" w:w="3120"/>
            <w:tcBorders>
              <w:top w:val="single" w:color="CCCCCC" w:sz="1"/>
              <w:left w:val="single" w:color="CCCCCC" w:sz="1"/>
              <w:bottom w:val="single" w:color="CCCCCC" w:sz="1"/>
              <w:right w:val="single" w:color="CCCCCC" w:sz="1"/>
            </w:tcBorders>
          </w:tcPr>
          <w:p>
            <w:r>
              <w:rPr>
                <w:b/>
                <w:bCs/>
              </w:rPr>
              <w:t xml:space="preserve">Annual Recurring Revenue</w:t>
            </w:r>
          </w:p>
        </w:tc>
        <w:tc>
          <w:tcPr>
            <w:tcW w:type="dxa" w:w="2080"/>
            <w:tcBorders>
              <w:top w:val="single" w:color="CCCCCC" w:sz="1"/>
              <w:left w:val="single" w:color="CCCCCC" w:sz="1"/>
              <w:bottom w:val="single" w:color="CCCCCC" w:sz="1"/>
              <w:right w:val="single" w:color="CCCCCC" w:sz="1"/>
            </w:tcBorders>
          </w:tcPr>
          <w:p>
            <w:pPr>
              <w:jc w:val="right"/>
            </w:pPr>
            <w:r>
              <w:rPr>
                <w:b/>
                <w:bCs/>
                <w:color w:val="1a5490"/>
              </w:rPr>
              <w:t xml:space="preserve">$720K</w:t>
            </w:r>
          </w:p>
        </w:tc>
        <w:tc>
          <w:tcPr>
            <w:tcW w:type="dxa" w:w="2080"/>
            <w:tcBorders>
              <w:top w:val="single" w:color="CCCCCC" w:sz="1"/>
              <w:left w:val="single" w:color="CCCCCC" w:sz="1"/>
              <w:bottom w:val="single" w:color="CCCCCC" w:sz="1"/>
              <w:right w:val="single" w:color="CCCCCC" w:sz="1"/>
            </w:tcBorders>
          </w:tcPr>
          <w:p>
            <w:pPr>
              <w:jc w:val="right"/>
            </w:pPr>
            <w:r>
              <w:rPr>
                <w:b/>
                <w:bCs/>
                <w:color w:val="1a5490"/>
              </w:rPr>
              <w:t xml:space="preserve">$2.3M</w:t>
            </w:r>
          </w:p>
        </w:tc>
        <w:tc>
          <w:tcPr>
            <w:tcW w:type="dxa" w:w="2080"/>
            <w:tcBorders>
              <w:top w:val="single" w:color="CCCCCC" w:sz="1"/>
              <w:left w:val="single" w:color="CCCCCC" w:sz="1"/>
              <w:bottom w:val="single" w:color="CCCCCC" w:sz="1"/>
              <w:right w:val="single" w:color="CCCCCC" w:sz="1"/>
            </w:tcBorders>
          </w:tcPr>
          <w:p>
            <w:pPr>
              <w:jc w:val="right"/>
            </w:pPr>
            <w:r>
              <w:rPr>
                <w:b/>
                <w:bCs/>
                <w:color w:val="1a5490"/>
              </w:rPr>
              <w:t xml:space="preserve">$5.2M</w:t>
            </w:r>
          </w:p>
        </w:tc>
      </w:tr>
      <w:tr>
        <w:tc>
          <w:tcPr>
            <w:tcW w:type="dxa" w:w="3120"/>
            <w:tcBorders>
              <w:top w:val="single" w:color="CCCCCC" w:sz="1"/>
              <w:left w:val="single" w:color="CCCCCC" w:sz="1"/>
              <w:bottom w:val="single" w:color="CCCCCC" w:sz="1"/>
              <w:right w:val="single" w:color="CCCCCC" w:sz="1"/>
            </w:tcBorders>
          </w:tcPr>
          <w:p>
            <w:r>
              <w:t xml:space="preserve">New Customer Bookings</w:t>
            </w:r>
          </w:p>
        </w:tc>
        <w:tc>
          <w:tcPr>
            <w:tcW w:type="dxa" w:w="2080"/>
            <w:tcBorders>
              <w:top w:val="single" w:color="CCCCCC" w:sz="1"/>
              <w:left w:val="single" w:color="CCCCCC" w:sz="1"/>
              <w:bottom w:val="single" w:color="CCCCCC" w:sz="1"/>
              <w:right w:val="single" w:color="CCCCCC" w:sz="1"/>
            </w:tcBorders>
          </w:tcPr>
          <w:p>
            <w:pPr>
              <w:jc w:val="right"/>
            </w:pPr>
            <w:r>
              <w:t xml:space="preserve">12</w:t>
            </w:r>
          </w:p>
        </w:tc>
        <w:tc>
          <w:tcPr>
            <w:tcW w:type="dxa" w:w="2080"/>
            <w:tcBorders>
              <w:top w:val="single" w:color="CCCCCC" w:sz="1"/>
              <w:left w:val="single" w:color="CCCCCC" w:sz="1"/>
              <w:bottom w:val="single" w:color="CCCCCC" w:sz="1"/>
              <w:right w:val="single" w:color="CCCCCC" w:sz="1"/>
            </w:tcBorders>
          </w:tcPr>
          <w:p>
            <w:pPr>
              <w:jc w:val="right"/>
            </w:pPr>
            <w:r>
              <w:t xml:space="preserve">22</w:t>
            </w:r>
          </w:p>
        </w:tc>
        <w:tc>
          <w:tcPr>
            <w:tcW w:type="dxa" w:w="2080"/>
            <w:tcBorders>
              <w:top w:val="single" w:color="CCCCCC" w:sz="1"/>
              <w:left w:val="single" w:color="CCCCCC" w:sz="1"/>
              <w:bottom w:val="single" w:color="CCCCCC" w:sz="1"/>
              <w:right w:val="single" w:color="CCCCCC" w:sz="1"/>
            </w:tcBorders>
          </w:tcPr>
          <w:p>
            <w:pPr>
              <w:jc w:val="right"/>
            </w:pPr>
            <w:r>
              <w:t xml:space="preserve">35</w:t>
            </w:r>
          </w:p>
        </w:tc>
      </w:tr>
      <w:tr>
        <w:tc>
          <w:tcPr>
            <w:tcW w:type="dxa" w:w="3120"/>
            <w:tcBorders>
              <w:top w:val="single" w:color="CCCCCC" w:sz="1"/>
              <w:left w:val="single" w:color="CCCCCC" w:sz="1"/>
              <w:bottom w:val="single" w:color="CCCCCC" w:sz="1"/>
              <w:right w:val="single" w:color="CCCCCC" w:sz="1"/>
            </w:tcBorders>
          </w:tcPr>
          <w:p>
            <w:r>
              <w:t xml:space="preserve">Expansion Revenue</w:t>
            </w:r>
          </w:p>
        </w:tc>
        <w:tc>
          <w:tcPr>
            <w:tcW w:type="dxa" w:w="2080"/>
            <w:tcBorders>
              <w:top w:val="single" w:color="CCCCCC" w:sz="1"/>
              <w:left w:val="single" w:color="CCCCCC" w:sz="1"/>
              <w:bottom w:val="single" w:color="CCCCCC" w:sz="1"/>
              <w:right w:val="single" w:color="CCCCCC" w:sz="1"/>
            </w:tcBorders>
          </w:tcPr>
          <w:p>
            <w:pPr>
              <w:jc w:val="right"/>
            </w:pPr>
            <w:r>
              <w:t xml:space="preserve">$0</w:t>
            </w:r>
          </w:p>
        </w:tc>
        <w:tc>
          <w:tcPr>
            <w:tcW w:type="dxa" w:w="2080"/>
            <w:tcBorders>
              <w:top w:val="single" w:color="CCCCCC" w:sz="1"/>
              <w:left w:val="single" w:color="CCCCCC" w:sz="1"/>
              <w:bottom w:val="single" w:color="CCCCCC" w:sz="1"/>
              <w:right w:val="single" w:color="CCCCCC" w:sz="1"/>
            </w:tcBorders>
          </w:tcPr>
          <w:p>
            <w:pPr>
              <w:jc w:val="right"/>
            </w:pPr>
            <w:r>
              <w:t xml:space="preserve">$180K</w:t>
            </w:r>
          </w:p>
        </w:tc>
        <w:tc>
          <w:tcPr>
            <w:tcW w:type="dxa" w:w="2080"/>
            <w:tcBorders>
              <w:top w:val="single" w:color="CCCCCC" w:sz="1"/>
              <w:left w:val="single" w:color="CCCCCC" w:sz="1"/>
              <w:bottom w:val="single" w:color="CCCCCC" w:sz="1"/>
              <w:right w:val="single" w:color="CCCCCC" w:sz="1"/>
            </w:tcBorders>
          </w:tcPr>
          <w:p>
            <w:pPr>
              <w:jc w:val="right"/>
            </w:pPr>
            <w:r>
              <w:t xml:space="preserve">$520K</w:t>
            </w:r>
          </w:p>
        </w:tc>
      </w:tr>
      <w:tr>
        <w:tc>
          <w:tcPr>
            <w:tcW w:type="dxa" w:w="3120"/>
            <w:tcBorders>
              <w:top w:val="single" w:color="CCCCCC" w:sz="1"/>
              <w:left w:val="single" w:color="CCCCCC" w:sz="1"/>
              <w:bottom w:val="single" w:color="CCCCCC" w:sz="1"/>
              <w:right w:val="single" w:color="CCCCCC" w:sz="1"/>
            </w:tcBorders>
          </w:tcPr>
          <w:p>
            <w:r>
              <w:t xml:space="preserve">Gross Margin %</w:t>
            </w:r>
          </w:p>
        </w:tc>
        <w:tc>
          <w:tcPr>
            <w:tcW w:type="dxa" w:w="2080"/>
            <w:tcBorders>
              <w:top w:val="single" w:color="CCCCCC" w:sz="1"/>
              <w:left w:val="single" w:color="CCCCCC" w:sz="1"/>
              <w:bottom w:val="single" w:color="CCCCCC" w:sz="1"/>
              <w:right w:val="single" w:color="CCCCCC" w:sz="1"/>
            </w:tcBorders>
          </w:tcPr>
          <w:p>
            <w:pPr>
              <w:jc w:val="right"/>
            </w:pPr>
            <w:r>
              <w:t xml:space="preserve">78%</w:t>
            </w:r>
          </w:p>
        </w:tc>
        <w:tc>
          <w:tcPr>
            <w:tcW w:type="dxa" w:w="2080"/>
            <w:tcBorders>
              <w:top w:val="single" w:color="CCCCCC" w:sz="1"/>
              <w:left w:val="single" w:color="CCCCCC" w:sz="1"/>
              <w:bottom w:val="single" w:color="CCCCCC" w:sz="1"/>
              <w:right w:val="single" w:color="CCCCCC" w:sz="1"/>
            </w:tcBorders>
          </w:tcPr>
          <w:p>
            <w:pPr>
              <w:jc w:val="right"/>
            </w:pPr>
            <w:r>
              <w:t xml:space="preserve">83%</w:t>
            </w:r>
          </w:p>
        </w:tc>
        <w:tc>
          <w:tcPr>
            <w:tcW w:type="dxa" w:w="2080"/>
            <w:tcBorders>
              <w:top w:val="single" w:color="CCCCCC" w:sz="1"/>
              <w:left w:val="single" w:color="CCCCCC" w:sz="1"/>
              <w:bottom w:val="single" w:color="CCCCCC" w:sz="1"/>
              <w:right w:val="single" w:color="CCCCCC" w:sz="1"/>
            </w:tcBorders>
          </w:tcPr>
          <w:p>
            <w:pPr>
              <w:jc w:val="right"/>
            </w:pPr>
            <w:r>
              <w:t xml:space="preserve">86%</w:t>
            </w:r>
          </w:p>
        </w:tc>
      </w:tr>
      <w:tr>
        <w:tc>
          <w:tcPr>
            <w:tcW w:type="dxa" w:w="3120"/>
            <w:tcBorders>
              <w:top w:val="single" w:color="CCCCCC" w:sz="1"/>
              <w:left w:val="single" w:color="CCCCCC" w:sz="1"/>
              <w:bottom w:val="single" w:color="CCCCCC" w:sz="1"/>
              <w:right w:val="single" w:color="CCCCCC" w:sz="1"/>
            </w:tcBorders>
          </w:tcPr>
          <w:p>
            <w:r>
              <w:t xml:space="preserve">Operating Expenses</w:t>
            </w:r>
          </w:p>
        </w:tc>
        <w:tc>
          <w:tcPr>
            <w:tcW w:type="dxa" w:w="2080"/>
            <w:tcBorders>
              <w:top w:val="single" w:color="CCCCCC" w:sz="1"/>
              <w:left w:val="single" w:color="CCCCCC" w:sz="1"/>
              <w:bottom w:val="single" w:color="CCCCCC" w:sz="1"/>
              <w:right w:val="single" w:color="CCCCCC" w:sz="1"/>
            </w:tcBorders>
          </w:tcPr>
          <w:p>
            <w:pPr>
              <w:jc w:val="right"/>
            </w:pPr>
            <w:r>
              <w:t xml:space="preserve">$1.8M</w:t>
            </w:r>
          </w:p>
        </w:tc>
        <w:tc>
          <w:tcPr>
            <w:tcW w:type="dxa" w:w="2080"/>
            <w:tcBorders>
              <w:top w:val="single" w:color="CCCCCC" w:sz="1"/>
              <w:left w:val="single" w:color="CCCCCC" w:sz="1"/>
              <w:bottom w:val="single" w:color="CCCCCC" w:sz="1"/>
              <w:right w:val="single" w:color="CCCCCC" w:sz="1"/>
            </w:tcBorders>
          </w:tcPr>
          <w:p>
            <w:pPr>
              <w:jc w:val="right"/>
            </w:pPr>
            <w:r>
              <w:t xml:space="preserve">$2.6M</w:t>
            </w:r>
          </w:p>
        </w:tc>
        <w:tc>
          <w:tcPr>
            <w:tcW w:type="dxa" w:w="2080"/>
            <w:tcBorders>
              <w:top w:val="single" w:color="CCCCCC" w:sz="1"/>
              <w:left w:val="single" w:color="CCCCCC" w:sz="1"/>
              <w:bottom w:val="single" w:color="CCCCCC" w:sz="1"/>
              <w:right w:val="single" w:color="CCCCCC" w:sz="1"/>
            </w:tcBorders>
          </w:tcPr>
          <w:p>
            <w:pPr>
              <w:jc w:val="right"/>
            </w:pPr>
            <w:r>
              <w:t xml:space="preserve">$3.5M</w:t>
            </w:r>
          </w:p>
        </w:tc>
      </w:tr>
      <w:tr>
        <w:tc>
          <w:tcPr>
            <w:tcW w:type="dxa" w:w="3120"/>
            <w:tcBorders>
              <w:top w:val="single" w:color="CCCCCC" w:sz="1"/>
              <w:left w:val="single" w:color="CCCCCC" w:sz="1"/>
              <w:bottom w:val="single" w:color="CCCCCC" w:sz="1"/>
              <w:right w:val="single" w:color="CCCCCC" w:sz="1"/>
            </w:tcBorders>
            <w:shd w:fill="FFF4E6" w:val="clear"/>
          </w:tcPr>
          <w:p>
            <w:r>
              <w:rPr>
                <w:b/>
                <w:bCs/>
              </w:rPr>
              <w:t xml:space="preserve">EBITDA</w:t>
            </w:r>
          </w:p>
        </w:tc>
        <w:tc>
          <w:tcPr>
            <w:tcW w:type="dxa" w:w="2080"/>
            <w:tcBorders>
              <w:top w:val="single" w:color="CCCCCC" w:sz="1"/>
              <w:left w:val="single" w:color="CCCCCC" w:sz="1"/>
              <w:bottom w:val="single" w:color="CCCCCC" w:sz="1"/>
              <w:right w:val="single" w:color="CCCCCC" w:sz="1"/>
            </w:tcBorders>
            <w:shd w:fill="FFF4E6" w:val="clear"/>
          </w:tcPr>
          <w:p>
            <w:pPr>
              <w:jc w:val="right"/>
            </w:pPr>
            <w:r>
              <w:rPr>
                <w:b/>
                <w:bCs/>
                <w:color w:val="c62828"/>
              </w:rPr>
              <w:t xml:space="preserve">($1.2M)</w:t>
            </w:r>
          </w:p>
        </w:tc>
        <w:tc>
          <w:tcPr>
            <w:tcW w:type="dxa" w:w="2080"/>
            <w:tcBorders>
              <w:top w:val="single" w:color="CCCCCC" w:sz="1"/>
              <w:left w:val="single" w:color="CCCCCC" w:sz="1"/>
              <w:bottom w:val="single" w:color="CCCCCC" w:sz="1"/>
              <w:right w:val="single" w:color="CCCCCC" w:sz="1"/>
            </w:tcBorders>
            <w:shd w:fill="FFF4E6" w:val="clear"/>
          </w:tcPr>
          <w:p>
            <w:pPr>
              <w:jc w:val="right"/>
            </w:pPr>
            <w:r>
              <w:rPr>
                <w:b/>
                <w:bCs/>
                <w:color w:val="c62828"/>
              </w:rPr>
              <w:t xml:space="preserve">($680K)</w:t>
            </w:r>
          </w:p>
        </w:tc>
        <w:tc>
          <w:tcPr>
            <w:tcW w:type="dxa" w:w="2080"/>
            <w:tcBorders>
              <w:top w:val="single" w:color="CCCCCC" w:sz="1"/>
              <w:left w:val="single" w:color="CCCCCC" w:sz="1"/>
              <w:bottom w:val="single" w:color="CCCCCC" w:sz="1"/>
              <w:right w:val="single" w:color="CCCCCC" w:sz="1"/>
            </w:tcBorders>
            <w:shd w:fill="E8F5E9" w:val="clear"/>
          </w:tcPr>
          <w:p>
            <w:pPr>
              <w:jc w:val="right"/>
            </w:pPr>
            <w:r>
              <w:rPr>
                <w:b/>
                <w:bCs/>
                <w:color w:val="2e7d32"/>
              </w:rPr>
              <w:t xml:space="preserve">$980K</w:t>
            </w:r>
          </w:p>
        </w:tc>
      </w:tr>
    </w:tbl>
    <w:p>
      <w:pPr>
        <w:spacing w:before="240" w:after="240"/>
      </w:pPr>
      <w:r>
        <w:t xml:space="preserve">Key Assumptions: Year 1 focuses on product development and initial customer acquisition (12 customers from founder network + warm intros). Year 2 accelerates with dedicated sales hiring (2 AEs) and marketing investment (conferences, content). Year 3 achieves operational leverage as customer acquisition costs decline and expansion revenue compounds. Path to profitability occurs in Q3 Year 3 driven by fixed cost leverage and improving gross margins.</w:t>
      </w:r>
    </w:p>
    <w:p>
      <w:r>
        <w:br w:type="page"/>
      </w:r>
    </w:p>
    <w:p>
      <w:pPr>
        <w:pStyle w:val="Heading1"/>
      </w:pPr>
      <w:r>
        <w:t xml:space="preserve">Go-To-Market Strategy &amp; Exit Roadmap</w:t>
      </w:r>
    </w:p>
    <w:p>
      <w:pPr>
        <w:pStyle w:val="Heading2"/>
      </w:pPr>
      <w:r>
        <w:t xml:space="preserve">Customer Acquisition Strategy</w:t>
      </w:r>
    </w:p>
    <w:p>
      <w:pPr>
        <w:spacing w:after="180"/>
      </w:pPr>
      <w:r>
        <w:rPr>
          <w:b/>
          <w:bCs/>
        </w:rPr>
        <w:t xml:space="preserve">AlphaNAV's go-to-market strategy leverages a multi-channel approach optimized for the NAV lending ecosystem:</w:t>
      </w:r>
    </w:p>
    <w:p>
      <w:pPr>
        <w:pStyle w:val="Heading3"/>
      </w:pPr>
      <w:r>
        <w:t xml:space="preserve">Phase 1: Founder-Led Sales (Months 1-12)</w:t>
      </w:r>
    </w:p>
    <w:p>
      <w:pPr>
        <w:pStyle w:val="ListParagraph"/>
        <w:numPr>
          <w:ilvl w:val="0"/>
          <w:numId w:val="2"/>
        </w:numPr>
      </w:pPr>
      <w:r>
        <w:t xml:space="preserve">Direct Outreach: Leverage existing relationships with NAV lenders from private credit network (target: 12 initial customers)</w:t>
      </w:r>
    </w:p>
    <w:p>
      <w:pPr>
        <w:pStyle w:val="ListParagraph"/>
        <w:numPr>
          <w:ilvl w:val="0"/>
          <w:numId w:val="2"/>
        </w:numPr>
      </w:pPr>
      <w:r>
        <w:t xml:space="preserve">Pilot Programs: Offer 3-month pilot at 50% discount ($3,750/month) to secure design partners and testimonials</w:t>
      </w:r>
    </w:p>
    <w:p>
      <w:pPr>
        <w:pStyle w:val="ListParagraph"/>
        <w:numPr>
          <w:ilvl w:val="0"/>
          <w:numId w:val="2"/>
        </w:numPr>
      </w:pPr>
      <w:r>
        <w:t xml:space="preserve">Reference Architecture: Document case studies showing operational alpha delivered (target: 3 published case studies by Month 9)</w:t>
      </w:r>
    </w:p>
    <w:p>
      <w:pPr>
        <w:pStyle w:val="ListParagraph"/>
        <w:numPr>
          <w:ilvl w:val="0"/>
          <w:numId w:val="2"/>
        </w:numPr>
        <w:spacing w:after="180"/>
      </w:pPr>
      <w:r>
        <w:t xml:space="preserve">Conference Presence: Speaking slots at SuperReturn, Private Credit Connect, AIC conferences to build thought leadership</w:t>
      </w:r>
    </w:p>
    <w:p>
      <w:pPr>
        <w:pStyle w:val="Heading3"/>
      </w:pPr>
      <w:r>
        <w:t xml:space="preserve">Phase 2: Scaled Distribution (Months 13-24)</w:t>
      </w:r>
    </w:p>
    <w:p>
      <w:pPr>
        <w:pStyle w:val="ListParagraph"/>
        <w:numPr>
          <w:ilvl w:val="0"/>
          <w:numId w:val="2"/>
        </w:numPr>
      </w:pPr>
      <w:r>
        <w:t xml:space="preserve">Inbound Content Engine: Launch 'NAV Lending Operations' blog with weekly posts on underwriting best practices, covenant monitoring</w:t>
      </w:r>
    </w:p>
    <w:p>
      <w:pPr>
        <w:pStyle w:val="ListParagraph"/>
        <w:numPr>
          <w:ilvl w:val="0"/>
          <w:numId w:val="2"/>
        </w:numPr>
      </w:pPr>
      <w:r>
        <w:t xml:space="preserve">Viral Lead Magnet: Deploy 'Rosetta Stone' compliance mapping tool (free interactive tool showing NAV lending covenant standards)</w:t>
      </w:r>
    </w:p>
    <w:p>
      <w:pPr>
        <w:pStyle w:val="ListParagraph"/>
        <w:numPr>
          <w:ilvl w:val="0"/>
          <w:numId w:val="2"/>
        </w:numPr>
      </w:pPr>
      <w:r>
        <w:t xml:space="preserve">Outbound Sales Team: Hire 2 Account Executives targeting 40 qualified opportunities per quarter</w:t>
      </w:r>
    </w:p>
    <w:p>
      <w:pPr>
        <w:pStyle w:val="ListParagraph"/>
        <w:numPr>
          <w:ilvl w:val="0"/>
          <w:numId w:val="2"/>
        </w:numPr>
      </w:pPr>
      <w:r>
        <w:t xml:space="preserve">Partnership Channel: Co-marketing with fund administrators (SS&amp;C, Alter Domus) to reach PE fund clients seeking NAV financing</w:t>
      </w:r>
    </w:p>
    <w:p>
      <w:pPr>
        <w:pStyle w:val="ListParagraph"/>
        <w:numPr>
          <w:ilvl w:val="0"/>
          <w:numId w:val="2"/>
        </w:numPr>
        <w:spacing w:after="180"/>
      </w:pPr>
      <w:r>
        <w:t xml:space="preserve">Industry Association: Join Private Credit Council, sponsor working groups on NAV lending standards</w:t>
      </w:r>
    </w:p>
    <w:p>
      <w:pPr>
        <w:pStyle w:val="Heading3"/>
      </w:pPr>
      <w:r>
        <w:t xml:space="preserve">Phase 3: Market Domination (Months 25-36)</w:t>
      </w:r>
    </w:p>
    <w:p>
      <w:pPr>
        <w:pStyle w:val="ListParagraph"/>
        <w:numPr>
          <w:ilvl w:val="0"/>
          <w:numId w:val="2"/>
        </w:numPr>
      </w:pPr>
      <w:r>
        <w:t xml:space="preserve">Thought Leadership: Publish annual 'State of NAV Lending Operations' report with industry benchmarks</w:t>
      </w:r>
    </w:p>
    <w:p>
      <w:pPr>
        <w:pStyle w:val="ListParagraph"/>
        <w:numPr>
          <w:ilvl w:val="0"/>
          <w:numId w:val="2"/>
        </w:numPr>
      </w:pPr>
      <w:r>
        <w:t xml:space="preserve">Strategic Alliances: Integration partnerships with major private equity platforms (BlackRock Aladdin, SS&amp;C Geneva)</w:t>
      </w:r>
    </w:p>
    <w:p>
      <w:pPr>
        <w:pStyle w:val="ListParagraph"/>
        <w:numPr>
          <w:ilvl w:val="0"/>
          <w:numId w:val="2"/>
        </w:numPr>
      </w:pPr>
      <w:r>
        <w:t xml:space="preserve">User Conference: Host inaugural 'AlphaNAV Summit' for 200+ NAV lending practitioners</w:t>
      </w:r>
    </w:p>
    <w:p>
      <w:pPr>
        <w:pStyle w:val="ListParagraph"/>
        <w:numPr>
          <w:ilvl w:val="0"/>
          <w:numId w:val="2"/>
        </w:numPr>
      </w:pPr>
      <w:r>
        <w:t xml:space="preserve">Expansion Revenue: Drive Professional → Enterprise upgrades through white-label deployment offerings</w:t>
      </w:r>
    </w:p>
    <w:p>
      <w:pPr>
        <w:pStyle w:val="ListParagraph"/>
        <w:numPr>
          <w:ilvl w:val="0"/>
          <w:numId w:val="2"/>
        </w:numPr>
        <w:spacing w:after="240"/>
      </w:pPr>
      <w:r>
        <w:t xml:space="preserve">International Expansion: Enter European market (London, Paris) with localized product for EUR-denominated NAV facilities</w:t>
      </w:r>
    </w:p>
    <w:p>
      <w:pPr>
        <w:pStyle w:val="Heading2"/>
      </w:pPr>
      <w:r>
        <w:t xml:space="preserve">Viral Growth Mechanism: The Rosetta Stone</w:t>
      </w:r>
    </w:p>
    <w:p>
      <w:pPr>
        <w:spacing w:after="180"/>
      </w:pPr>
      <w:r>
        <w:rPr>
          <w:b/>
          <w:bCs/>
        </w:rPr>
        <w:t xml:space="preserve">The 'Rosetta Stone' is a free interactive compliance mapping tool that serves as both lead generation engine and technical IP demonstration:</w:t>
      </w:r>
    </w:p>
    <w:p>
      <w:pPr>
        <w:pStyle w:val="ListParagraph"/>
        <w:numPr>
          <w:ilvl w:val="0"/>
          <w:numId w:val="2"/>
        </w:numPr>
      </w:pPr>
      <w:r>
        <w:t xml:space="preserve">What It Does: Maps NAV lending covenants across regulatory frameworks (HIPAA, HITRUST, ISO 42001, FDA PCCP equivalent for financial services)</w:t>
      </w:r>
    </w:p>
    <w:p>
      <w:pPr>
        <w:pStyle w:val="ListParagraph"/>
        <w:numPr>
          <w:ilvl w:val="0"/>
          <w:numId w:val="2"/>
        </w:numPr>
      </w:pPr>
      <w:r>
        <w:t xml:space="preserve">User Value: Operations teams use it to check compliance requirements, GPs use it to understand lender expectations</w:t>
      </w:r>
    </w:p>
    <w:p>
      <w:pPr>
        <w:pStyle w:val="ListParagraph"/>
        <w:numPr>
          <w:ilvl w:val="0"/>
          <w:numId w:val="2"/>
        </w:numPr>
      </w:pPr>
      <w:r>
        <w:t xml:space="preserve">Data Collection: Tool captures user inputs (fund size, covenant types, jurisdictions) to qualify leads</w:t>
      </w:r>
    </w:p>
    <w:p>
      <w:pPr>
        <w:pStyle w:val="ListParagraph"/>
        <w:numPr>
          <w:ilvl w:val="0"/>
          <w:numId w:val="2"/>
        </w:numPr>
      </w:pPr>
      <w:r>
        <w:t xml:space="preserve">Virality Mechanics: Users share generated compliance reports with colleagues, creating organic distribution</w:t>
      </w:r>
    </w:p>
    <w:p>
      <w:pPr>
        <w:pStyle w:val="ListParagraph"/>
        <w:numPr>
          <w:ilvl w:val="0"/>
          <w:numId w:val="2"/>
        </w:numPr>
        <w:spacing w:after="240"/>
      </w:pPr>
      <w:r>
        <w:t xml:space="preserve">Target: 15K+ monthly active users by Month 18, converting at 3-5% to paid platform trials</w:t>
      </w:r>
    </w:p>
    <w:p>
      <w:pPr>
        <w:pStyle w:val="Heading2"/>
      </w:pPr>
      <w:r>
        <w:t xml:space="preserve">18-Month Exit Strategy</w:t>
      </w:r>
    </w:p>
    <w:p>
      <w:pPr>
        <w:spacing w:after="180"/>
      </w:pPr>
      <w:r>
        <w:rPr>
          <w:b/>
          <w:bCs/>
        </w:rPr>
        <w:t xml:space="preserve">AlphaNAV is architected for strategic acquisition within 18 months by one of three acquirer categories:</w:t>
      </w:r>
    </w:p>
    <w:p>
      <w:pPr>
        <w:pStyle w:val="Heading3"/>
      </w:pPr>
      <w:r>
        <w:t xml:space="preserve">Category 1: Private Capital Technology Platforms</w:t>
      </w:r>
    </w:p>
    <w:p>
      <w:pPr>
        <w:pStyle w:val="ListParagraph"/>
        <w:numPr>
          <w:ilvl w:val="0"/>
          <w:numId w:val="2"/>
        </w:numPr>
      </w:pPr>
      <w:r>
        <w:t xml:space="preserve">Potential Acquirers: BlackRock Aladdin, SS&amp;C Technologies, Addepar, Carta, Juniper Square</w:t>
      </w:r>
    </w:p>
    <w:p>
      <w:pPr>
        <w:pStyle w:val="ListParagraph"/>
        <w:numPr>
          <w:ilvl w:val="0"/>
          <w:numId w:val="2"/>
        </w:numPr>
      </w:pPr>
      <w:r>
        <w:t xml:space="preserve">Strategic Rationale: Add NAV lending vertical to broaden private capital coverage</w:t>
      </w:r>
    </w:p>
    <w:p>
      <w:pPr>
        <w:pStyle w:val="ListParagraph"/>
        <w:numPr>
          <w:ilvl w:val="0"/>
          <w:numId w:val="2"/>
        </w:numPr>
      </w:pPr>
      <w:r>
        <w:t xml:space="preserve">Valuation Range: $40-60M (8-10x ARR typical for B2B SaaS financial infrastructure)</w:t>
      </w:r>
    </w:p>
    <w:p>
      <w:pPr>
        <w:pStyle w:val="ListParagraph"/>
        <w:numPr>
          <w:ilvl w:val="0"/>
          <w:numId w:val="2"/>
        </w:numPr>
        <w:spacing w:after="180"/>
      </w:pPr>
      <w:r>
        <w:t xml:space="preserve">Deal Structure: Cash + earnout tied to revenue retention</w:t>
      </w:r>
    </w:p>
    <w:p>
      <w:pPr>
        <w:pStyle w:val="Heading3"/>
      </w:pPr>
      <w:r>
        <w:t xml:space="preserve">Category 2: NAV Lending Specialists</w:t>
      </w:r>
    </w:p>
    <w:p>
      <w:pPr>
        <w:pStyle w:val="ListParagraph"/>
        <w:numPr>
          <w:ilvl w:val="0"/>
          <w:numId w:val="2"/>
        </w:numPr>
      </w:pPr>
      <w:r>
        <w:t xml:space="preserve">Potential Acquirers: 17Capital, Pantheon, Arcmont, Churchill Asset Management, Golub Capital</w:t>
      </w:r>
    </w:p>
    <w:p>
      <w:pPr>
        <w:pStyle w:val="ListParagraph"/>
        <w:numPr>
          <w:ilvl w:val="0"/>
          <w:numId w:val="2"/>
        </w:numPr>
      </w:pPr>
      <w:r>
        <w:t xml:space="preserve">Strategic Rationale: Internalize operational stack to achieve 100 bps margin improvement across portfolio</w:t>
      </w:r>
    </w:p>
    <w:p>
      <w:pPr>
        <w:pStyle w:val="ListParagraph"/>
        <w:numPr>
          <w:ilvl w:val="0"/>
          <w:numId w:val="2"/>
        </w:numPr>
      </w:pPr>
      <w:r>
        <w:t xml:space="preserve">Valuation Range: $30-45M (strategic value from operational savings justifies premium)</w:t>
      </w:r>
    </w:p>
    <w:p>
      <w:pPr>
        <w:pStyle w:val="ListParagraph"/>
        <w:numPr>
          <w:ilvl w:val="0"/>
          <w:numId w:val="2"/>
        </w:numPr>
        <w:spacing w:after="180"/>
      </w:pPr>
      <w:r>
        <w:t xml:space="preserve">Deal Structure: Cash upfront, potential equity participation in parent</w:t>
      </w:r>
    </w:p>
    <w:p>
      <w:pPr>
        <w:pStyle w:val="Heading3"/>
      </w:pPr>
      <w:r>
        <w:t xml:space="preserve">Category 3: Fund Administration Platforms</w:t>
      </w:r>
    </w:p>
    <w:p>
      <w:pPr>
        <w:pStyle w:val="ListParagraph"/>
        <w:numPr>
          <w:ilvl w:val="0"/>
          <w:numId w:val="2"/>
        </w:numPr>
      </w:pPr>
      <w:r>
        <w:t xml:space="preserve">Potential Acquirers: SS&amp;C (fund admin division), Alter Domus, Apex Group, Citco</w:t>
      </w:r>
    </w:p>
    <w:p>
      <w:pPr>
        <w:pStyle w:val="ListParagraph"/>
        <w:numPr>
          <w:ilvl w:val="0"/>
          <w:numId w:val="2"/>
        </w:numPr>
      </w:pPr>
      <w:r>
        <w:t xml:space="preserve">Strategic Rationale: Offer NAV lending facilitation as premium service to PE fund clients</w:t>
      </w:r>
    </w:p>
    <w:p>
      <w:pPr>
        <w:pStyle w:val="ListParagraph"/>
        <w:numPr>
          <w:ilvl w:val="0"/>
          <w:numId w:val="2"/>
        </w:numPr>
      </w:pPr>
      <w:r>
        <w:t xml:space="preserve">Valuation Range: $35-50M (value from cross-selling to existing client base)</w:t>
      </w:r>
    </w:p>
    <w:p>
      <w:pPr>
        <w:pStyle w:val="ListParagraph"/>
        <w:numPr>
          <w:ilvl w:val="0"/>
          <w:numId w:val="2"/>
        </w:numPr>
        <w:spacing w:after="240"/>
      </w:pPr>
      <w:r>
        <w:t xml:space="preserve">Deal Structure: Cash + potential earnout on cross-sell performance</w:t>
      </w:r>
    </w:p>
    <w:p>
      <w:pPr>
        <w:pStyle w:val="Heading3"/>
      </w:pPr>
      <w:r>
        <w:t xml:space="preserve">Exit Milestones &amp; Preparation</w:t>
      </w:r>
    </w:p>
    <w:p>
      <w:pPr>
        <w:pStyle w:val="ListParagraph"/>
        <w:numPr>
          <w:ilvl w:val="0"/>
          <w:numId w:val="2"/>
        </w:numPr>
      </w:pPr>
      <w:r>
        <w:t xml:space="preserve">Month 6: Complete SOC 2 Type II audit to remove compliance objections</w:t>
      </w:r>
    </w:p>
    <w:p>
      <w:pPr>
        <w:pStyle w:val="ListParagraph"/>
        <w:numPr>
          <w:ilvl w:val="0"/>
          <w:numId w:val="2"/>
        </w:numPr>
      </w:pPr>
      <w:r>
        <w:t xml:space="preserve">Month 9: Publish 3 customer case studies demonstrating 100+ bps operational alpha</w:t>
      </w:r>
    </w:p>
    <w:p>
      <w:pPr>
        <w:pStyle w:val="ListParagraph"/>
        <w:numPr>
          <w:ilvl w:val="0"/>
          <w:numId w:val="2"/>
        </w:numPr>
      </w:pPr>
      <w:r>
        <w:t xml:space="preserve">Month 12: Achieve $2M ARR with 60%+ net dollar retention</w:t>
      </w:r>
    </w:p>
    <w:p>
      <w:pPr>
        <w:pStyle w:val="ListParagraph"/>
        <w:numPr>
          <w:ilvl w:val="0"/>
          <w:numId w:val="2"/>
        </w:numPr>
      </w:pPr>
      <w:r>
        <w:t xml:space="preserve">Month 15: Retain investment bank (Moelis, Raymond James) to run structured process with 15-20 potential acquirers</w:t>
      </w:r>
    </w:p>
    <w:p>
      <w:pPr>
        <w:pStyle w:val="ListParagraph"/>
        <w:numPr>
          <w:ilvl w:val="0"/>
          <w:numId w:val="2"/>
        </w:numPr>
      </w:pPr>
      <w:r>
        <w:t xml:space="preserve">Month 18: Close transaction at $40-60M valuation, delivering 12-15x return to investors</w:t>
      </w:r>
    </w:p>
    <w:p>
      <w:r>
        <w:br w:type="page"/>
      </w:r>
    </w:p>
    <w:p>
      <w:pPr>
        <w:pStyle w:val="Heading1"/>
      </w:pPr>
      <w:r>
        <w:t xml:space="preserve">Implementation Roadmap &amp; Risk Mitigation</w:t>
      </w:r>
    </w:p>
    <w:p>
      <w:pPr>
        <w:pStyle w:val="Heading2"/>
      </w:pPr>
      <w:r>
        <w:t xml:space="preserve">Development Roadmap (18 Months)</w:t>
      </w:r>
    </w:p>
    <w:p>
      <w:pPr>
        <w:pStyle w:val="Heading3"/>
      </w:pPr>
      <w:r>
        <w:t xml:space="preserve">Phase 1: Foundation (Months 1-6) - COMPLETED</w:t>
      </w:r>
    </w:p>
    <w:p>
      <w:pPr>
        <w:pStyle w:val="ListParagraph"/>
        <w:numPr>
          <w:ilvl w:val="0"/>
          <w:numId w:val="2"/>
        </w:numPr>
      </w:pPr>
      <w:r>
        <w:t xml:space="preserve">✓ Core platform infrastructure (React/TypeScript frontend, Node.js/Express backend, PostgreSQL database)</w:t>
      </w:r>
    </w:p>
    <w:p>
      <w:pPr>
        <w:pStyle w:val="ListParagraph"/>
        <w:numPr>
          <w:ilvl w:val="0"/>
          <w:numId w:val="2"/>
        </w:numPr>
      </w:pPr>
      <w:r>
        <w:t xml:space="preserve">✓ Authentication system with multi-provider support (Google, GitHub, X, Apple, email/password)</w:t>
      </w:r>
    </w:p>
    <w:p>
      <w:pPr>
        <w:pStyle w:val="ListParagraph"/>
        <w:numPr>
          <w:ilvl w:val="0"/>
          <w:numId w:val="2"/>
        </w:numPr>
      </w:pPr>
      <w:r>
        <w:t xml:space="preserve">✓ Role-based access control (Operations, Advisor, GP, Admin)</w:t>
      </w:r>
    </w:p>
    <w:p>
      <w:pPr>
        <w:pStyle w:val="ListParagraph"/>
        <w:numPr>
          <w:ilvl w:val="0"/>
          <w:numId w:val="2"/>
        </w:numPr>
      </w:pPr>
      <w:r>
        <w:t xml:space="preserve">✓ Mobile-responsive design tested across devices (375px mobile → 1920px+ desktop)</w:t>
      </w:r>
    </w:p>
    <w:p>
      <w:pPr>
        <w:pStyle w:val="ListParagraph"/>
        <w:numPr>
          <w:ilvl w:val="0"/>
          <w:numId w:val="2"/>
        </w:numPr>
        <w:spacing w:after="180"/>
      </w:pPr>
      <w:r>
        <w:t xml:space="preserve">✓ Professional marketing website with pricing tiers, value propositions, contact forms</w:t>
      </w:r>
    </w:p>
    <w:p>
      <w:pPr>
        <w:pStyle w:val="Heading3"/>
      </w:pPr>
      <w:r>
        <w:t xml:space="preserve">Phase 2: Core Features (Months 7-12)</w:t>
      </w:r>
    </w:p>
    <w:p>
      <w:pPr>
        <w:pStyle w:val="ListParagraph"/>
        <w:numPr>
          <w:ilvl w:val="0"/>
          <w:numId w:val="2"/>
        </w:numPr>
      </w:pPr>
      <w:r>
        <w:t xml:space="preserve">AI-powered document extraction (Gemini 2.0 Flash integration)</w:t>
      </w:r>
    </w:p>
    <w:p>
      <w:pPr>
        <w:pStyle w:val="ListParagraph"/>
        <w:numPr>
          <w:ilvl w:val="0"/>
          <w:numId w:val="2"/>
        </w:numPr>
      </w:pPr>
      <w:r>
        <w:t xml:space="preserve">Underwriting engine with eligibility scoring and LTV calculation</w:t>
      </w:r>
    </w:p>
    <w:p>
      <w:pPr>
        <w:pStyle w:val="ListParagraph"/>
        <w:numPr>
          <w:ilvl w:val="0"/>
          <w:numId w:val="2"/>
        </w:numPr>
      </w:pPr>
      <w:r>
        <w:t xml:space="preserve">Covenant monitoring dashboard with automated breach alerts</w:t>
      </w:r>
    </w:p>
    <w:p>
      <w:pPr>
        <w:pStyle w:val="ListParagraph"/>
        <w:numPr>
          <w:ilvl w:val="0"/>
          <w:numId w:val="2"/>
        </w:numPr>
      </w:pPr>
      <w:r>
        <w:t xml:space="preserve">Legal document automation (loan agreements, term sheets, compliance certificates)</w:t>
      </w:r>
    </w:p>
    <w:p>
      <w:pPr>
        <w:pStyle w:val="ListParagraph"/>
        <w:numPr>
          <w:ilvl w:val="0"/>
          <w:numId w:val="2"/>
        </w:numPr>
      </w:pPr>
      <w:r>
        <w:t xml:space="preserve">Deal pipeline management with Kanban board visualization</w:t>
      </w:r>
    </w:p>
    <w:p>
      <w:pPr>
        <w:pStyle w:val="ListParagraph"/>
        <w:numPr>
          <w:ilvl w:val="0"/>
          <w:numId w:val="2"/>
        </w:numPr>
        <w:spacing w:after="180"/>
      </w:pPr>
      <w:r>
        <w:t xml:space="preserve">SOC 2 Type II compliance audit initiation and completion</w:t>
      </w:r>
    </w:p>
    <w:p>
      <w:pPr>
        <w:pStyle w:val="Heading3"/>
      </w:pPr>
      <w:r>
        <w:t xml:space="preserve">Phase 3: Advanced Features (Months 13-18)</w:t>
      </w:r>
    </w:p>
    <w:p>
      <w:pPr>
        <w:pStyle w:val="ListParagraph"/>
        <w:numPr>
          <w:ilvl w:val="0"/>
          <w:numId w:val="2"/>
        </w:numPr>
      </w:pPr>
      <w:r>
        <w:t xml:space="preserve">Advisor RFP portal with fund anonymization and bid comparison</w:t>
      </w:r>
    </w:p>
    <w:p>
      <w:pPr>
        <w:pStyle w:val="ListParagraph"/>
        <w:numPr>
          <w:ilvl w:val="0"/>
          <w:numId w:val="2"/>
        </w:numPr>
      </w:pPr>
      <w:r>
        <w:t xml:space="preserve">GP self-service portal with draw requests and repayment tracking</w:t>
      </w:r>
    </w:p>
    <w:p>
      <w:pPr>
        <w:pStyle w:val="ListParagraph"/>
        <w:numPr>
          <w:ilvl w:val="0"/>
          <w:numId w:val="2"/>
        </w:numPr>
      </w:pPr>
      <w:r>
        <w:t xml:space="preserve">Portfolio analytics dashboard with risk concentration analysis</w:t>
      </w:r>
    </w:p>
    <w:p>
      <w:pPr>
        <w:pStyle w:val="ListParagraph"/>
        <w:numPr>
          <w:ilvl w:val="0"/>
          <w:numId w:val="2"/>
        </w:numPr>
      </w:pPr>
      <w:r>
        <w:t xml:space="preserve">API development and documentation for third-party integrations</w:t>
      </w:r>
    </w:p>
    <w:p>
      <w:pPr>
        <w:pStyle w:val="ListParagraph"/>
        <w:numPr>
          <w:ilvl w:val="0"/>
          <w:numId w:val="2"/>
        </w:numPr>
      </w:pPr>
      <w:r>
        <w:t xml:space="preserve">Fund administrator integrations (SS&amp;C, Alter Domus, Apex)</w:t>
      </w:r>
    </w:p>
    <w:p>
      <w:pPr>
        <w:pStyle w:val="ListParagraph"/>
        <w:numPr>
          <w:ilvl w:val="0"/>
          <w:numId w:val="2"/>
        </w:numPr>
        <w:spacing w:after="240"/>
      </w:pPr>
      <w:r>
        <w:t xml:space="preserve">Viral Rosetta Stone compliance mapping tool launch</w:t>
      </w:r>
    </w:p>
    <w:p>
      <w:pPr>
        <w:pStyle w:val="Heading2"/>
      </w:pPr>
      <w:r>
        <w:t xml:space="preserve">Key Risks &amp; Mitigation Strategies</w:t>
      </w:r>
    </w:p>
    <w:p>
      <w:pPr>
        <w:pStyle w:val="Heading3"/>
      </w:pPr>
      <w:r>
        <w:t xml:space="preserve">Risk 1: AI Accuracy Falls Below 95%</w:t>
      </w:r>
    </w:p>
    <w:p>
      <w:pPr>
        <w:spacing w:after="180"/>
      </w:pPr>
      <w:r>
        <w:t xml:space="preserve">Impact: Core value proposition of automation requires high accuracy to eliminate manual verification. Below 95% accuracy, operational savings erode significantly.</w:t>
      </w:r>
    </w:p>
    <w:p>
      <w:pPr>
        <w:spacing w:after="180"/>
      </w:pPr>
      <w:r>
        <w:rPr>
          <w:b/>
          <w:bCs/>
        </w:rPr>
        <w:t xml:space="preserve">Mitigation:</w:t>
      </w:r>
    </w:p>
    <w:p>
      <w:pPr>
        <w:pStyle w:val="ListParagraph"/>
        <w:numPr>
          <w:ilvl w:val="0"/>
          <w:numId w:val="2"/>
        </w:numPr>
      </w:pPr>
      <w:r>
        <w:t xml:space="preserve">Build confidence scoring system: Show users extraction confidence levels (High 98%+, Medium 90-97%, Low &lt;90%)</w:t>
      </w:r>
    </w:p>
    <w:p>
      <w:pPr>
        <w:pStyle w:val="ListParagraph"/>
        <w:numPr>
          <w:ilvl w:val="0"/>
          <w:numId w:val="2"/>
        </w:numPr>
      </w:pPr>
      <w:r>
        <w:t xml:space="preserve">Implement human-in-the-loop workflow: Route low-confidence extractions to user review before committing to database</w:t>
      </w:r>
    </w:p>
    <w:p>
      <w:pPr>
        <w:pStyle w:val="ListParagraph"/>
        <w:numPr>
          <w:ilvl w:val="0"/>
          <w:numId w:val="2"/>
        </w:numPr>
      </w:pPr>
      <w:r>
        <w:t xml:space="preserve">Continuous model improvement: Use user corrections to retrain extraction models monthly</w:t>
      </w:r>
    </w:p>
    <w:p>
      <w:pPr>
        <w:pStyle w:val="ListParagraph"/>
        <w:numPr>
          <w:ilvl w:val="0"/>
          <w:numId w:val="2"/>
        </w:numPr>
        <w:spacing w:after="240"/>
      </w:pPr>
      <w:r>
        <w:t xml:space="preserve">Backup strategy: Maintain partnerships with offshore data entry vendors (India, Philippines) for fallback processing at $25/hour</w:t>
      </w:r>
    </w:p>
    <w:p>
      <w:pPr>
        <w:pStyle w:val="Heading3"/>
      </w:pPr>
      <w:r>
        <w:t xml:space="preserve">Risk 2: Slower Customer Adoption Than Projected</w:t>
      </w:r>
    </w:p>
    <w:p>
      <w:pPr>
        <w:spacing w:after="180"/>
      </w:pPr>
      <w:r>
        <w:t xml:space="preserve">Impact: SaaS economics depend on achieving critical mass (20+ customers by Month 18). Slower adoption extends burn and delays profitability.</w:t>
      </w:r>
    </w:p>
    <w:p>
      <w:pPr>
        <w:spacing w:after="180"/>
      </w:pPr>
      <w:r>
        <w:rPr>
          <w:b/>
          <w:bCs/>
        </w:rPr>
        <w:t xml:space="preserve">Mitigation:</w:t>
      </w:r>
    </w:p>
    <w:p>
      <w:pPr>
        <w:pStyle w:val="ListParagraph"/>
        <w:numPr>
          <w:ilvl w:val="0"/>
          <w:numId w:val="2"/>
        </w:numPr>
      </w:pPr>
      <w:r>
        <w:t xml:space="preserve">Freemium tier: Offer free 5-facility plan to accelerate initial adoption and land-and-expand strategy</w:t>
      </w:r>
    </w:p>
    <w:p>
      <w:pPr>
        <w:pStyle w:val="ListParagraph"/>
        <w:numPr>
          <w:ilvl w:val="0"/>
          <w:numId w:val="2"/>
        </w:numPr>
      </w:pPr>
      <w:r>
        <w:t xml:space="preserve">Revenue share model: Alternative pricing where AlphaNAV takes 10-15 bps of facility fees instead of fixed subscription</w:t>
      </w:r>
    </w:p>
    <w:p>
      <w:pPr>
        <w:pStyle w:val="ListParagraph"/>
        <w:numPr>
          <w:ilvl w:val="0"/>
          <w:numId w:val="2"/>
        </w:numPr>
      </w:pPr>
      <w:r>
        <w:t xml:space="preserve">Strategic partnerships: Co-sell agreements with fund administrators who introduce AlphaNAV to PE fund clients</w:t>
      </w:r>
    </w:p>
    <w:p>
      <w:pPr>
        <w:pStyle w:val="ListParagraph"/>
        <w:numPr>
          <w:ilvl w:val="0"/>
          <w:numId w:val="2"/>
        </w:numPr>
        <w:spacing w:after="240"/>
      </w:pPr>
      <w:r>
        <w:t xml:space="preserve">Pivot option: If lender adoption lags, pivot to GP-focused product helping funds source NAV financing (marketplace model)</w:t>
      </w:r>
    </w:p>
    <w:p>
      <w:pPr>
        <w:pStyle w:val="Heading3"/>
      </w:pPr>
      <w:r>
        <w:t xml:space="preserve">Risk 3: Competitive Response from 73 Strings or Incumbents</w:t>
      </w:r>
    </w:p>
    <w:p>
      <w:pPr>
        <w:spacing w:after="180"/>
      </w:pPr>
      <w:r>
        <w:t xml:space="preserve">Impact: If 73 Strings or other well-funded competitors add NAV lending features, AlphaNAV loses differentiation and pricing power.</w:t>
      </w:r>
    </w:p>
    <w:p>
      <w:pPr>
        <w:spacing w:after="180"/>
      </w:pPr>
      <w:r>
        <w:rPr>
          <w:b/>
          <w:bCs/>
        </w:rPr>
        <w:t xml:space="preserve">Mitigation:</w:t>
      </w:r>
    </w:p>
    <w:p>
      <w:pPr>
        <w:pStyle w:val="ListParagraph"/>
        <w:numPr>
          <w:ilvl w:val="0"/>
          <w:numId w:val="2"/>
        </w:numPr>
      </w:pPr>
      <w:r>
        <w:t xml:space="preserve">Vertical depth: Build features 73 Strings won't (advisor RFP portal, GP self-service, time arbitrage analytics) to maintain differentiation</w:t>
      </w:r>
    </w:p>
    <w:p>
      <w:pPr>
        <w:pStyle w:val="ListParagraph"/>
        <w:numPr>
          <w:ilvl w:val="0"/>
          <w:numId w:val="2"/>
        </w:numPr>
      </w:pPr>
      <w:r>
        <w:t xml:space="preserve">Integration strategy: Position as complementary to 73 Strings via API integration rather than replacement</w:t>
      </w:r>
    </w:p>
    <w:p>
      <w:pPr>
        <w:pStyle w:val="ListParagraph"/>
        <w:numPr>
          <w:ilvl w:val="0"/>
          <w:numId w:val="2"/>
        </w:numPr>
      </w:pPr>
      <w:r>
        <w:t xml:space="preserve">Speed to market: Move quickly to lock in 15-20 customers before competitors notice NAV lending opportunity</w:t>
      </w:r>
    </w:p>
    <w:p>
      <w:pPr>
        <w:pStyle w:val="ListParagraph"/>
        <w:numPr>
          <w:ilvl w:val="0"/>
          <w:numId w:val="2"/>
        </w:numPr>
        <w:spacing w:after="240"/>
      </w:pPr>
      <w:r>
        <w:t xml:space="preserve">Acquisition upside: Competitive threat actually increases acquisition likelihood (73 Strings may prefer to buy rather than build)</w:t>
      </w:r>
    </w:p>
    <w:p>
      <w:pPr>
        <w:pStyle w:val="Heading3"/>
      </w:pPr>
      <w:r>
        <w:t xml:space="preserve">Risk 4: Regulatory Changes Impact NAV Lending Market</w:t>
      </w:r>
    </w:p>
    <w:p>
      <w:pPr>
        <w:spacing w:after="180"/>
      </w:pPr>
      <w:r>
        <w:t xml:space="preserve">Impact: Banking regulators (OCC, Fed) could impose stricter capital requirements on NAV lending, reducing market size.</w:t>
      </w:r>
    </w:p>
    <w:p>
      <w:pPr>
        <w:spacing w:after="180"/>
      </w:pPr>
      <w:r>
        <w:rPr>
          <w:b/>
          <w:bCs/>
        </w:rPr>
        <w:t xml:space="preserve">Mitigation:</w:t>
      </w:r>
    </w:p>
    <w:p>
      <w:pPr>
        <w:pStyle w:val="ListParagraph"/>
        <w:numPr>
          <w:ilvl w:val="0"/>
          <w:numId w:val="2"/>
        </w:numPr>
      </w:pPr>
      <w:r>
        <w:t xml:space="preserve">Regulatory monitoring: Build compliance reporting features that help lenders demonstrate regulatory adherence</w:t>
      </w:r>
    </w:p>
    <w:p>
      <w:pPr>
        <w:pStyle w:val="ListParagraph"/>
        <w:numPr>
          <w:ilvl w:val="0"/>
          <w:numId w:val="2"/>
        </w:numPr>
      </w:pPr>
      <w:r>
        <w:t xml:space="preserve">Market diversification: Expand beyond NAV lending to broader private credit operations if regulatory headwinds emerge</w:t>
      </w:r>
    </w:p>
    <w:p>
      <w:pPr>
        <w:pStyle w:val="ListParagraph"/>
        <w:numPr>
          <w:ilvl w:val="0"/>
          <w:numId w:val="2"/>
        </w:numPr>
      </w:pPr>
      <w:r>
        <w:t xml:space="preserve">International expansion: Enter European and Asian markets with different regulatory regimes to reduce geographic concentration</w:t>
      </w:r>
    </w:p>
    <w:p>
      <w:pPr>
        <w:pStyle w:val="ListParagraph"/>
        <w:numPr>
          <w:ilvl w:val="0"/>
          <w:numId w:val="2"/>
        </w:numPr>
        <w:spacing w:after="240"/>
      </w:pPr>
      <w:r>
        <w:t xml:space="preserve">Scenario planning: Model impact of various regulatory scenarios on customer economics and platform features</w:t>
      </w:r>
    </w:p>
    <w:p>
      <w:r>
        <w:br w:type="page"/>
      </w:r>
    </w:p>
    <w:p>
      <w:pPr>
        <w:pStyle w:val="Heading1"/>
      </w:pPr>
      <w:r>
        <w:t xml:space="preserve">Conclusion: Capturing the NAV Lending Infrastructure Opportunity</w:t>
      </w:r>
    </w:p>
    <w:p>
      <w:pPr>
        <w:spacing w:after="180"/>
      </w:pPr>
      <w:r>
        <w:t xml:space="preserve">AlphaNAV represents a rare opportunity to create category-defining infrastructure in a high-growth, underserved market. The NAV lending ecosystem—already $80B and growing at 58% annually—suffers from acute operational inefficiencies that consume 100+ basis points from lender margins. Our platform delivers this operational alpha directly to lenders' bottom lines through 90% workflow automation powered by AI, while simultaneously creating a two-sided marketplace that connects GPs with capital providers.</w:t>
      </w:r>
    </w:p>
    <w:p>
      <w:pPr>
        <w:spacing w:after="180"/>
      </w:pPr>
      <w:r>
        <w:t xml:space="preserve">The vertical specialization strategy differentiates AlphaNAV from horizontal players like 73 Strings, allowing us to deliver superior value for NAV lenders through purpose-built workflows (advisor RFP portal, facility draw management, growth-focused LTV positioning) that generalist platforms cannot match. This positioning creates both standalone value and strategic acquisition appeal, with potential exit valuations of $40-60M within 18 months driven by $5-8M ARR and 60%+ net dollar retention.</w:t>
      </w:r>
    </w:p>
    <w:p>
      <w:pPr>
        <w:spacing w:after="180"/>
      </w:pPr>
      <w:r>
        <w:t xml:space="preserve">The time arbitrage thesis—positioning NAV lending as a coordination failure solution rather than traditional credit business—aligns perfectly with our technical architecture. By automating the operational overhead that prevents efficient capital deployment, AlphaNAV captures value during the critical 18-24 month window when PE funds need liquidity but traditional exit pathways remain uncertain.</w:t>
      </w:r>
    </w:p>
    <w:p>
      <w:pPr>
        <w:spacing w:after="240"/>
      </w:pPr>
      <w:r>
        <w:t xml:space="preserve">With Phase 1 infrastructure completed (authentication, responsive design, role-based access), the platform is positioned for rapid feature development and customer acquisition. The 18-month roadmap balances product velocity, customer traction, and strategic positioning to maximize exit optionality across private capital technology platforms, NAV lending specialists, and fund administration providers. Our goal: deliver exceptional value to NAV lenders, capture 25%+ market share in lower-middle market segment, and achieve a successful strategic exit that returns 12-15x to investors.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1a5490"/>
      <w:sz w:val="56"/>
      <w:szCs w:val="56"/>
    </w:rPr>
  </w:style>
  <w:style w:type="paragraph" w:styleId="Heading1">
    <w:name w:val="Heading 1"/>
    <w:basedOn w:val="Normal"/>
    <w:next w:val="Normal"/>
    <w:qFormat/>
    <w:pPr>
      <w:spacing w:before="360" w:after="240"/>
      <w:outlineLvl w:val="0"/>
    </w:pPr>
    <w:rPr>
      <w:rFonts w:ascii="Arial" w:cs="Arial" w:eastAsia="Arial" w:hAnsi="Arial"/>
      <w:b/>
      <w:bCs/>
      <w:color w:val="1a5490"/>
      <w:sz w:val="36"/>
      <w:szCs w:val="36"/>
    </w:rPr>
  </w:style>
  <w:style w:type="paragraph" w:styleId="Heading2">
    <w:name w:val="Heading 2"/>
    <w:basedOn w:val="Normal"/>
    <w:next w:val="Normal"/>
    <w:qFormat/>
    <w:pPr>
      <w:spacing w:before="240" w:after="180"/>
      <w:outlineLvl w:val="1"/>
    </w:pPr>
    <w:rPr>
      <w:rFonts w:ascii="Arial" w:cs="Arial" w:eastAsia="Arial" w:hAnsi="Arial"/>
      <w:b/>
      <w:bCs/>
      <w:color w:val="2b7bb9"/>
      <w:sz w:val="30"/>
      <w:szCs w:val="30"/>
    </w:rPr>
  </w:style>
  <w:style w:type="paragraph" w:styleId="Heading3">
    <w:name w:val="Heading 3"/>
    <w:basedOn w:val="Normal"/>
    <w:next w:val="Normal"/>
    <w:qFormat/>
    <w:pPr>
      <w:spacing w:before="180" w:after="120"/>
      <w:outlineLvl w:val="2"/>
    </w:pPr>
    <w:rPr>
      <w:rFonts w:ascii="Arial" w:cs="Arial" w:eastAsia="Arial" w:hAnsi="Arial"/>
      <w:b/>
      <w:bCs/>
      <w:color w:val="404040"/>
      <w:sz w:val="26"/>
      <w:szCs w:val="26"/>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2025-10-25T15:22:05.106Z</dcterms:created>
  <dcterms:modified xsi:type="dcterms:W3CDTF">2025-10-25T15:22:05.106Z</dcterms:modified>
</cp:coreProperties>
</file>

<file path=docProps/custom.xml><?xml version="1.0" encoding="utf-8"?>
<Properties xmlns="http://schemas.openxmlformats.org/officeDocument/2006/custom-properties" xmlns:vt="http://schemas.openxmlformats.org/officeDocument/2006/docPropsVTypes"/>
</file>