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360"/>
        <w:jc w:val="both"/>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sz w:val="36"/>
          <w:szCs w:val="36"/>
        </w:rPr>
        <w:t xml:space="preserve">The Thermodynamic Cost of Canonical Form:</w:t>
      </w:r>
    </w:p>
    <w:p>
      <w:pPr>
        <w:spacing w:after="80"/>
        <w:jc w:val="center"/>
      </w:pPr>
      <w:r>
        <w:rPr>
          <w:rFonts w:ascii="Times New Roman" w:cs="Times New Roman" w:eastAsia="Times New Roman" w:hAnsi="Times New Roman"/>
          <w:b/>
          <w:bCs/>
          <w:sz w:val="36"/>
          <w:szCs w:val="36"/>
        </w:rPr>
        <w:t xml:space="preserve">Landauer’s Principle, Maxwell’s Demon, and the</w:t>
      </w:r>
    </w:p>
    <w:p>
      <w:pPr>
        <w:spacing w:after="300"/>
        <w:jc w:val="center"/>
      </w:pPr>
      <w:r>
        <w:rPr>
          <w:rFonts w:ascii="Times New Roman" w:cs="Times New Roman" w:eastAsia="Times New Roman" w:hAnsi="Times New Roman"/>
          <w:b/>
          <w:bCs/>
          <w:sz w:val="36"/>
          <w:szCs w:val="36"/>
        </w:rPr>
        <w:t xml:space="preserve">Measurable Economics of Sovereignty Computing</w:t>
      </w:r>
    </w:p>
    <w:p>
      <w:pPr>
        <w:spacing w:after="60"/>
        <w:jc w:val="center"/>
      </w:pPr>
      <w:r>
        <w:rPr>
          <w:rFonts w:ascii="Times New Roman" w:cs="Times New Roman" w:eastAsia="Times New Roman" w:hAnsi="Times New Roman"/>
          <w:sz w:val="24"/>
          <w:szCs w:val="24"/>
        </w:rPr>
        <w:t xml:space="preserve">K. Brengel</w:t>
      </w:r>
    </w:p>
    <w:p>
      <w:pPr>
        <w:spacing w:after="60"/>
        <w:jc w:val="center"/>
      </w:pPr>
      <w:r>
        <w:rPr>
          <w:rFonts w:ascii="Times New Roman" w:cs="Times New Roman" w:eastAsia="Times New Roman" w:hAnsi="Times New Roman"/>
          <w:i/>
          <w:iCs/>
          <w:sz w:val="22"/>
          <w:szCs w:val="22"/>
        </w:rPr>
        <w:t xml:space="preserve">Talking Rock Project</w:t>
      </w:r>
    </w:p>
    <w:p>
      <w:pPr>
        <w:spacing w:after="60"/>
        <w:jc w:val="center"/>
      </w:pPr>
      <w:r>
        <w:rPr>
          <w:rFonts w:ascii="Times New Roman" w:cs="Times New Roman" w:eastAsia="Times New Roman" w:hAnsi="Times New Roman"/>
          <w:i/>
          <w:iCs/>
          <w:sz w:val="22"/>
          <w:szCs w:val="22"/>
        </w:rPr>
        <w:t xml:space="preserve">February 2026</w:t>
      </w:r>
    </w:p>
    <w:p>
      <w:pPr>
        <w:spacing w:after="500"/>
        <w:jc w:val="center"/>
      </w:pPr>
      <w:r>
        <w:rPr>
          <w:rFonts w:ascii="Times New Roman" w:cs="Times New Roman" w:eastAsia="Times New Roman" w:hAnsi="Times New Roman"/>
          <w:i/>
          <w:iCs/>
          <w:color w:val="666666"/>
          <w:sz w:val="20"/>
          <w:szCs w:val="20"/>
        </w:rPr>
        <w:t xml:space="preserve">Working Paper — Pre-print</w:t>
      </w:r>
    </w:p>
    <w:p>
      <w:pPr>
        <w:spacing w:before="400" w:after="200" w:line="360"/>
        <w:jc w:val="left"/>
      </w:pPr>
      <w:r>
        <w:rPr>
          <w:rFonts w:ascii="Times New Roman" w:cs="Times New Roman" w:eastAsia="Times New Roman" w:hAnsi="Times New Roman"/>
          <w:b/>
          <w:bCs/>
          <w:sz w:val="28"/>
          <w:szCs w:val="28"/>
        </w:rPr>
        <w:t xml:space="preserve">Abstract</w:t>
      </w:r>
    </w:p>
    <w:p>
      <w:pPr>
        <w:spacing w:after="300" w:before="0" w:line="360"/>
        <w:jc w:val="both"/>
      </w:pPr>
      <w:r>
        <w:rPr>
          <w:rFonts w:ascii="Times New Roman" w:cs="Times New Roman" w:eastAsia="Times New Roman" w:hAnsi="Times New Roman"/>
          <w:sz w:val="24"/>
          <w:szCs w:val="24"/>
        </w:rPr>
        <w:t xml:space="preserve">We propose that canonical-form code generation—in which every computation has exactly one valid representation—constitutes a measurable instance of Landauer’s principle applied to software engineering. Using the NoLang (NOL) instruction set as a concrete implementation, we argue that the transformation from natural language intent (high Shannon entropy) to canonical bytecode (minimal entropy) is an act of information erasure whose thermodynamic cost can be directly measured through hardware power monitoring. We introduce a framework for instrumenting this process, demonstrate that the architecture of an autonomous coding agent (RIVA) maps precisely onto Maxwell’s Demon, and show that hash-based memoization creates a system whose entropic cost decreases over time—a property with no analog in cloud-based code generation. We suggest that the measurable energy signature of canonical compilation provides a novel empirical bridge between information theory, thermodynamics, and the practical economics of sovereign computing.</w:t>
      </w:r>
    </w:p>
    <w:p>
      <w:pPr>
        <w:spacing w:after="400" w:before="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Landauer’s principle, Maxwell’s Demon, canonical form, information erasure, code generation, sovereignty computing, thermodynamic computing, Shannon entropy</w:t>
      </w:r>
    </w:p>
    <w:p>
      <w:pPr>
        <w:spacing w:before="400" w:after="200" w:line="360"/>
        <w:jc w:val="left"/>
      </w:pPr>
      <w:r>
        <w:rPr>
          <w:rFonts w:ascii="Times New Roman" w:cs="Times New Roman" w:eastAsia="Times New Roman" w:hAnsi="Times New Roman"/>
          <w:b/>
          <w:bCs/>
          <w:sz w:val="28"/>
          <w:szCs w:val="28"/>
        </w:rPr>
        <w:t xml:space="preserve">1. Introduction</w:t>
      </w:r>
    </w:p>
    <w:p>
      <w:pPr>
        <w:spacing w:after="200" w:before="0" w:line="360"/>
        <w:ind w:firstLine="720"/>
        <w:jc w:val="both"/>
      </w:pPr>
      <w:r>
        <w:rPr>
          <w:rFonts w:ascii="Times New Roman" w:cs="Times New Roman" w:eastAsia="Times New Roman" w:hAnsi="Times New Roman"/>
          <w:sz w:val="24"/>
          <w:szCs w:val="24"/>
        </w:rPr>
        <w:t xml:space="preserve">Since Landauer’s 1961 demonstration that information erasure has a minimum thermodynamic cost of kT ln 2 per bit, the relationship between computation and physics has been understood in principle but rarely measured in practice for specific software operations. Bennett’s 1982 resolution of Maxwell’s Demon—showing that the demon’s memory erasure, not the sorting itself, produces entropy—established a theoretical framework that has remained largely confined to physics and theoretical computer science.</w:t>
      </w:r>
    </w:p>
    <w:p>
      <w:pPr>
        <w:spacing w:after="200" w:before="0" w:line="360"/>
        <w:ind w:firstLine="720"/>
        <w:jc w:val="both"/>
      </w:pPr>
      <w:r>
        <w:rPr>
          <w:rFonts w:ascii="Times New Roman" w:cs="Times New Roman" w:eastAsia="Times New Roman" w:hAnsi="Times New Roman"/>
          <w:sz w:val="24"/>
          <w:szCs w:val="24"/>
        </w:rPr>
        <w:t xml:space="preserve">Meanwhile, a parallel revolution in software engineering has emerged: large language models (LLMs) generating code autonomously. Systems like GitHub Copilot, Cursor, and Devin transform natural language intent into executable programs. This transformation is, in information-theoretic terms, a compression from a high-entropy source (natural language, with its vast space of valid expressions) to a lower-entropy target (executable code, constrained by syntax and semantics).</w:t>
      </w:r>
    </w:p>
    <w:p>
      <w:pPr>
        <w:spacing w:after="200" w:before="0" w:line="360"/>
        <w:ind w:firstLine="720"/>
        <w:jc w:val="both"/>
      </w:pPr>
      <w:r>
        <w:rPr>
          <w:rFonts w:ascii="Times New Roman" w:cs="Times New Roman" w:eastAsia="Times New Roman" w:hAnsi="Times New Roman"/>
          <w:sz w:val="24"/>
          <w:szCs w:val="24"/>
        </w:rPr>
        <w:t xml:space="preserve">This paper argues that a specific variant of code generation—canonical-form compilation via the NoLang (NOL) instruction set—makes this compression maximally explicit and, crucially, physically measurable. We demonstrate that:</w:t>
      </w:r>
    </w:p>
    <w:p>
      <w:pPr>
        <w:spacing w:after="200" w:before="0" w:line="360"/>
        <w:ind w:firstLine="720"/>
        <w:jc w:val="both"/>
      </w:pPr>
      <w:r>
        <w:rPr>
          <w:rFonts w:ascii="Times New Roman" w:cs="Times New Roman" w:eastAsia="Times New Roman" w:hAnsi="Times New Roman"/>
          <w:sz w:val="24"/>
          <w:szCs w:val="24"/>
        </w:rPr>
        <w:t xml:space="preserve">First, the transformation from natural language to canonical bytecode constitutes genuine information erasure in Landauer’s sense: degrees of freedom present in the input are irreversibly eliminated in the output. Second, the autonomous coding agent RIVA functions as a physical instantiation of Maxwell’s Demon, sorting high-entropy intent into low-entropy verified programs. Third, the thermodynamic cost of this sorting is measurable through standard hardware power monitoring on local computing infrastructure. Fourth, hash-based memoization creates a demon whose entropic cost decreases over time, violating no physical law but exploiting the distinction between novel and cached computation. Fifth, the sovereignty computing model—in which all computation occurs on locally-owned hardware—makes this measurement possible in ways that cloud computing architecturally prevents.</w:t>
      </w:r>
    </w:p>
    <w:p>
      <w:pPr>
        <w:spacing w:before="400" w:after="200" w:line="360"/>
        <w:jc w:val="left"/>
      </w:pPr>
      <w:r>
        <w:rPr>
          <w:rFonts w:ascii="Times New Roman" w:cs="Times New Roman" w:eastAsia="Times New Roman" w:hAnsi="Times New Roman"/>
          <w:b/>
          <w:bCs/>
          <w:sz w:val="28"/>
          <w:szCs w:val="28"/>
        </w:rPr>
        <w:t xml:space="preserve">2. Theoretical Framework</w:t>
      </w:r>
    </w:p>
    <w:p>
      <w:pPr>
        <w:spacing w:before="300" w:after="160" w:line="360"/>
        <w:jc w:val="left"/>
      </w:pPr>
      <w:r>
        <w:rPr>
          <w:rFonts w:ascii="Times New Roman" w:cs="Times New Roman" w:eastAsia="Times New Roman" w:hAnsi="Times New Roman"/>
          <w:b/>
          <w:bCs/>
          <w:i/>
          <w:iCs/>
          <w:sz w:val="26"/>
          <w:szCs w:val="26"/>
        </w:rPr>
        <w:t xml:space="preserve">2.1 Shannon Entropy and the Output Space Problem</w:t>
      </w:r>
    </w:p>
    <w:p>
      <w:pPr>
        <w:spacing w:after="200" w:before="0" w:line="360"/>
        <w:ind w:firstLine="720"/>
        <w:jc w:val="both"/>
      </w:pPr>
      <w:r>
        <w:rPr>
          <w:rFonts w:ascii="Times New Roman" w:cs="Times New Roman" w:eastAsia="Times New Roman" w:hAnsi="Times New Roman"/>
          <w:sz w:val="24"/>
          <w:szCs w:val="24"/>
        </w:rPr>
        <w:t xml:space="preserve">Shannon’s 1948 formalization of information entropy defines the information content of a message as a function of the number of possible messages that could have been sent. A message drawn from a large space of equally probable alternatives carries high entropy; a message from a constrained space carries low entropy. A message with only one possible state carries zero bits: it conveys no surprise.</w:t>
      </w:r>
    </w:p>
    <w:p>
      <w:pPr>
        <w:spacing w:after="200" w:before="0" w:line="360"/>
        <w:ind w:firstLine="720"/>
        <w:jc w:val="both"/>
      </w:pPr>
      <w:r>
        <w:rPr>
          <w:rFonts w:ascii="Times New Roman" w:cs="Times New Roman" w:eastAsia="Times New Roman" w:hAnsi="Times New Roman"/>
          <w:sz w:val="24"/>
          <w:szCs w:val="24"/>
        </w:rPr>
        <w:t xml:space="preserve">Consider the task of assigning the integer 42 to a variable in Python. The valid output space includes at minimum: x = 42, x: int = 42, result = 42, value = 42, _x = 42, my_var = 42, and countless other naming conventions. Each is syntactically valid, semantically equivalent, and stylistically arbitrary. The LLM must select one, and its selection depends on training data distribution, temperature parameter, prompt context, and stochastic sampling.</w:t>
      </w:r>
    </w:p>
    <w:p>
      <w:pPr>
        <w:spacing w:after="200" w:before="0" w:line="360"/>
        <w:ind w:firstLine="720"/>
        <w:jc w:val="both"/>
      </w:pPr>
      <w:r>
        <w:rPr>
          <w:rFonts w:ascii="Times New Roman" w:cs="Times New Roman" w:eastAsia="Times New Roman" w:hAnsi="Times New Roman"/>
          <w:sz w:val="24"/>
          <w:szCs w:val="24"/>
        </w:rPr>
        <w:t xml:space="preserve">The Shannon entropy of this selection is non-trivial. If we model naming as a choice among N equally likely conventions, the entropy is log₂(N) bits. For a program with K such decisions, the total stylistic entropy is approximately K × log₂(N). This entropy is pure overhead: it encodes no computational content, only the arbitrary conventions of human-readable code.</w:t>
      </w:r>
    </w:p>
    <w:p>
      <w:pPr>
        <w:spacing w:before="300" w:after="160" w:line="360"/>
        <w:jc w:val="left"/>
      </w:pPr>
      <w:r>
        <w:rPr>
          <w:rFonts w:ascii="Times New Roman" w:cs="Times New Roman" w:eastAsia="Times New Roman" w:hAnsi="Times New Roman"/>
          <w:b/>
          <w:bCs/>
          <w:i/>
          <w:iCs/>
          <w:sz w:val="26"/>
          <w:szCs w:val="26"/>
        </w:rPr>
        <w:t xml:space="preserve">2.2 Canonical Form as Entropy Elimination</w:t>
      </w:r>
    </w:p>
    <w:p>
      <w:pPr>
        <w:spacing w:after="200" w:before="0" w:line="360"/>
        <w:ind w:firstLine="720"/>
        <w:jc w:val="both"/>
      </w:pPr>
      <w:r>
        <w:rPr>
          <w:rFonts w:ascii="Times New Roman" w:cs="Times New Roman" w:eastAsia="Times New Roman" w:hAnsi="Times New Roman"/>
          <w:sz w:val="24"/>
          <w:szCs w:val="24"/>
        </w:rPr>
        <w:t xml:space="preserve">The NOL instruction set eliminates this stylistic entropy by design. Every computation has exactly one valid representation. The integer assignment above becomes precisely: CONST I64 0x0000 0x002a. No alternative exists. The output space for this operation contains exactly one element, yielding exactly zero bits of Shannon entropy.</w:t>
      </w:r>
    </w:p>
    <w:p>
      <w:pPr>
        <w:spacing w:after="200" w:before="0" w:line="360"/>
        <w:ind w:firstLine="720"/>
        <w:jc w:val="both"/>
      </w:pPr>
      <w:r>
        <w:rPr>
          <w:rFonts w:ascii="Times New Roman" w:cs="Times New Roman" w:eastAsia="Times New Roman" w:hAnsi="Times New Roman"/>
          <w:sz w:val="24"/>
          <w:szCs w:val="24"/>
        </w:rPr>
        <w:t xml:space="preserve">This is not merely a syntactic convenience. It is a genuine reduction in the information-theoretic degrees of freedom of the output. When a system transforms natural language intent (“assign 42 to a variable”) into canonical NOL bytecode, it eliminates every degree of freedom except the computational content itself. The naming decisions, style conventions, type annotation preferences, and formatting choices are not resolved—they are erased.</w:t>
      </w:r>
    </w:p>
    <w:p>
      <w:pPr>
        <w:spacing w:after="200" w:before="0" w:line="360"/>
        <w:ind w:firstLine="720"/>
        <w:jc w:val="both"/>
      </w:pPr>
      <w:r>
        <w:rPr>
          <w:rFonts w:ascii="Times New Roman" w:cs="Times New Roman" w:eastAsia="Times New Roman" w:hAnsi="Times New Roman"/>
          <w:sz w:val="24"/>
          <w:szCs w:val="24"/>
        </w:rPr>
        <w:t xml:space="preserve">This erasure is precisely the operation Landauer’s principle describes.</w:t>
      </w:r>
    </w:p>
    <w:p>
      <w:pPr>
        <w:spacing w:before="300" w:after="160" w:line="360"/>
        <w:jc w:val="left"/>
      </w:pPr>
      <w:r>
        <w:rPr>
          <w:rFonts w:ascii="Times New Roman" w:cs="Times New Roman" w:eastAsia="Times New Roman" w:hAnsi="Times New Roman"/>
          <w:b/>
          <w:bCs/>
          <w:i/>
          <w:iCs/>
          <w:sz w:val="26"/>
          <w:szCs w:val="26"/>
        </w:rPr>
        <w:t xml:space="preserve">2.3 Landauer’s Principle Applied to Compilation</w:t>
      </w:r>
    </w:p>
    <w:p>
      <w:pPr>
        <w:spacing w:after="200" w:before="0" w:line="360"/>
        <w:ind w:firstLine="720"/>
        <w:jc w:val="both"/>
      </w:pPr>
      <w:r>
        <w:rPr>
          <w:rFonts w:ascii="Times New Roman" w:cs="Times New Roman" w:eastAsia="Times New Roman" w:hAnsi="Times New Roman"/>
          <w:sz w:val="24"/>
          <w:szCs w:val="24"/>
        </w:rPr>
        <w:t xml:space="preserve">Landauer’s principle states that erasing one bit of information dissipates at minimum kT ln 2 joules of energy as heat, where k is Boltzmann’s constant and T is the absolute temperature. At room temperature (300K), this minimum is approximately 2.87 × 10⁻²¹ joules per bit.</w:t>
      </w:r>
    </w:p>
    <w:p>
      <w:pPr>
        <w:spacing w:after="200" w:before="0" w:line="360"/>
        <w:ind w:firstLine="720"/>
        <w:jc w:val="both"/>
      </w:pPr>
      <w:r>
        <w:rPr>
          <w:rFonts w:ascii="Times New Roman" w:cs="Times New Roman" w:eastAsia="Times New Roman" w:hAnsi="Times New Roman"/>
          <w:sz w:val="24"/>
          <w:szCs w:val="24"/>
        </w:rPr>
        <w:t xml:space="preserve">When RIVA transforms natural language intent into canonical NOL code, it erases the stylistic degrees of freedom that distinguish the many valid Python representations of the same computation. If the stylistic entropy of a typical program is S bits, the minimum thermodynamic cost of canonical compilation is S × kT ln 2 joules.</w:t>
      </w:r>
    </w:p>
    <w:p>
      <w:pPr>
        <w:spacing w:after="200" w:before="0" w:line="360"/>
        <w:ind w:firstLine="720"/>
        <w:jc w:val="both"/>
      </w:pPr>
      <w:r>
        <w:rPr>
          <w:rFonts w:ascii="Times New Roman" w:cs="Times New Roman" w:eastAsia="Times New Roman" w:hAnsi="Times New Roman"/>
          <w:sz w:val="24"/>
          <w:szCs w:val="24"/>
        </w:rPr>
        <w:t xml:space="preserve">This is, of course, a theoretical minimum. Real computation on real hardware dissipates many orders of magnitude more energy due to the inefficiency of transistor switching, memory access patterns, and general computational overhead. But the Landauer bound establishes a non-zero floor: the act of canonicalization has a thermodynamic cost that cannot be reduced below a definite physical limit. The information erasure is real, not metaphorical.</w:t>
      </w:r>
    </w:p>
    <w:p>
      <w:pPr>
        <w:spacing w:before="300" w:after="160" w:line="360"/>
        <w:jc w:val="left"/>
      </w:pPr>
      <w:r>
        <w:rPr>
          <w:rFonts w:ascii="Times New Roman" w:cs="Times New Roman" w:eastAsia="Times New Roman" w:hAnsi="Times New Roman"/>
          <w:b/>
          <w:bCs/>
          <w:i/>
          <w:iCs/>
          <w:sz w:val="26"/>
          <w:szCs w:val="26"/>
        </w:rPr>
        <w:t xml:space="preserve">2.4 RIVA as Maxwell’s Demon</w:t>
      </w:r>
    </w:p>
    <w:p>
      <w:pPr>
        <w:spacing w:after="200" w:before="0" w:line="360"/>
        <w:ind w:firstLine="720"/>
        <w:jc w:val="both"/>
      </w:pPr>
      <w:r>
        <w:rPr>
          <w:rFonts w:ascii="Times New Roman" w:cs="Times New Roman" w:eastAsia="Times New Roman" w:hAnsi="Times New Roman"/>
          <w:sz w:val="24"/>
          <w:szCs w:val="24"/>
        </w:rPr>
        <w:t xml:space="preserve">Maxwell’s 1867 thought experiment imagined a demon sorting fast and slow gas molecules between two chambers, apparently decreasing entropy without work. Bennett’s resolution showed that the demon must store information about each molecule it sorts, and erasing that information to reset its memory produces exactly the entropy the sorting appeared to eliminate.</w:t>
      </w:r>
    </w:p>
    <w:p>
      <w:pPr>
        <w:spacing w:after="200" w:before="0" w:line="360"/>
        <w:ind w:firstLine="720"/>
        <w:jc w:val="both"/>
      </w:pPr>
      <w:r>
        <w:rPr>
          <w:rFonts w:ascii="Times New Roman" w:cs="Times New Roman" w:eastAsia="Times New Roman" w:hAnsi="Times New Roman"/>
          <w:sz w:val="24"/>
          <w:szCs w:val="24"/>
        </w:rPr>
        <w:t xml:space="preserve">RIVA’s architecture maps onto this framework with unusual precision. The high-entropy reservoir is the space of natural language intents combined with the vast space of valid code representations. The low-entropy reservoir is the set of verified, canonical NOL programs. RIVA sits between them, sorting: accepting an intent from the high-entropy side, generating candidate canonical programs, verifying them deterministically, and emitting only verified programs to the low-entropy side.</w:t>
      </w:r>
    </w:p>
    <w:p>
      <w:pPr>
        <w:spacing w:after="200" w:before="0" w:line="360"/>
        <w:ind w:firstLine="720"/>
        <w:jc w:val="both"/>
      </w:pPr>
      <w:r>
        <w:rPr>
          <w:rFonts w:ascii="Times New Roman" w:cs="Times New Roman" w:eastAsia="Times New Roman" w:hAnsi="Times New Roman"/>
          <w:sz w:val="24"/>
          <w:szCs w:val="24"/>
        </w:rPr>
        <w:t xml:space="preserve">The demon’s memory, in this model, is the LLM’s inference state—the activation patterns, attention matrices, and token probabilities maintained during generation. After each sorting operation (one intent → one verified program), this state must be erased to process the next intent. The erasure produces heat. That heat is physically real and measurable: it is the thermal output of the CPU and GPU during inference.</w:t>
      </w:r>
    </w:p>
    <w:p>
      <w:pPr>
        <w:spacing w:before="400" w:after="200" w:line="360"/>
        <w:jc w:val="left"/>
      </w:pPr>
      <w:r>
        <w:rPr>
          <w:rFonts w:ascii="Times New Roman" w:cs="Times New Roman" w:eastAsia="Times New Roman" w:hAnsi="Times New Roman"/>
          <w:b/>
          <w:bCs/>
          <w:sz w:val="28"/>
          <w:szCs w:val="28"/>
        </w:rPr>
        <w:t xml:space="preserve">3. A Framework for Measurement</w:t>
      </w:r>
    </w:p>
    <w:p>
      <w:pPr>
        <w:spacing w:before="300" w:after="160" w:line="360"/>
        <w:jc w:val="left"/>
      </w:pPr>
      <w:r>
        <w:rPr>
          <w:rFonts w:ascii="Times New Roman" w:cs="Times New Roman" w:eastAsia="Times New Roman" w:hAnsi="Times New Roman"/>
          <w:b/>
          <w:bCs/>
          <w:i/>
          <w:iCs/>
          <w:sz w:val="26"/>
          <w:szCs w:val="26"/>
        </w:rPr>
        <w:t xml:space="preserve">3.1 The Sovereignty Advantage</w:t>
      </w:r>
    </w:p>
    <w:p>
      <w:pPr>
        <w:spacing w:after="200" w:before="0" w:line="360"/>
        <w:ind w:firstLine="720"/>
        <w:jc w:val="both"/>
      </w:pPr>
      <w:r>
        <w:rPr>
          <w:rFonts w:ascii="Times New Roman" w:cs="Times New Roman" w:eastAsia="Times New Roman" w:hAnsi="Times New Roman"/>
          <w:sz w:val="24"/>
          <w:szCs w:val="24"/>
        </w:rPr>
        <w:t xml:space="preserve">A critical property of this analysis is that it requires local computation. When code generation occurs on cloud infrastructure, the user has no access to the hardware power telemetry of the machines performing the inference. The thermodynamic cost of the sorting operation is real but invisible—externalized to data centers and amortized across millions of users.</w:t>
      </w:r>
    </w:p>
    <w:p>
      <w:pPr>
        <w:spacing w:after="200" w:before="0" w:line="360"/>
        <w:ind w:firstLine="720"/>
        <w:jc w:val="both"/>
      </w:pPr>
      <w:r>
        <w:rPr>
          <w:rFonts w:ascii="Times New Roman" w:cs="Times New Roman" w:eastAsia="Times New Roman" w:hAnsi="Times New Roman"/>
          <w:sz w:val="24"/>
          <w:szCs w:val="24"/>
        </w:rPr>
        <w:t xml:space="preserve">Sovereignty computing—in which all computation occurs on locally-owned hardware—makes the demon’s cost visible. The user owns the CPU, GPU, and thermal sensors. The power consumption is a direct, measurable signal proportional to the computational work of canonicalization.</w:t>
      </w:r>
    </w:p>
    <w:p>
      <w:pPr>
        <w:spacing w:before="300" w:after="160" w:line="360"/>
        <w:jc w:val="left"/>
      </w:pPr>
      <w:r>
        <w:rPr>
          <w:rFonts w:ascii="Times New Roman" w:cs="Times New Roman" w:eastAsia="Times New Roman" w:hAnsi="Times New Roman"/>
          <w:b/>
          <w:bCs/>
          <w:i/>
          <w:iCs/>
          <w:sz w:val="26"/>
          <w:szCs w:val="26"/>
        </w:rPr>
        <w:t xml:space="preserve">3.2 Instrumentation Architecture</w:t>
      </w:r>
    </w:p>
    <w:p>
      <w:pPr>
        <w:spacing w:after="200" w:before="0" w:line="360"/>
        <w:ind w:firstLine="720"/>
        <w:jc w:val="both"/>
      </w:pPr>
      <w:r>
        <w:rPr>
          <w:rFonts w:ascii="Times New Roman" w:cs="Times New Roman" w:eastAsia="Times New Roman" w:hAnsi="Times New Roman"/>
          <w:sz w:val="24"/>
          <w:szCs w:val="24"/>
        </w:rPr>
        <w:t xml:space="preserve">We propose a measurement daemon (intentionally named) integrated into the ReOS sovereignty operating system that captures power telemetry at each stage of the canonical compilation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Pipeline Stage</w:t>
            </w:r>
          </w:p>
        </w:tc>
        <w:tc>
          <w:tcPr>
            <w:tcW w:type="dxa" w:w="2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Operation</w:t>
            </w:r>
          </w:p>
        </w:tc>
        <w:tc>
          <w:tcPr>
            <w:tcW w:type="dxa" w:w="22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Entropy Change</w:t>
            </w:r>
          </w:p>
        </w:tc>
        <w:tc>
          <w:tcPr>
            <w:tcW w:type="dxa" w:w="22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Measurable Signal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Intent Parsing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NL → Structured Intent</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Reduction</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CPU power (W)</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NOL Generation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Intent → Canonical Bytecode</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Collapse to minimum</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GPU power (W)</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Verification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4-layer deterministic check</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Confirmation (0 bits)</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CPU power (W)</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Hash Memoization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blake3 cache lookup</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Cached: skip stages</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Marginal (≈0 W)</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Sandbox Execution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Constrained I/O</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Bounded side effects</w:t>
            </w:r>
          </w:p>
        </w:tc>
        <w:tc>
          <w:tcPr>
            <w:tcW w:type="dxa" w:w="2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CPU + I/O power (W)</w:t>
            </w:r>
          </w:p>
        </w:tc>
      </w:tr>
    </w:tbl>
    <w:p>
      <w:pPr>
        <w:spacing w:after="100" w:before="0" w:line="360"/>
        <w:jc w:val="both"/>
      </w:pPr>
      <w:r>
        <w:rPr>
          <w:rFonts w:ascii="Times New Roman" w:cs="Times New Roman" w:eastAsia="Times New Roman" w:hAnsi="Times New Roman"/>
          <w:sz w:val="24"/>
          <w:szCs w:val="24"/>
        </w:rPr>
        <w:t xml:space="preserve"/>
      </w:r>
    </w:p>
    <w:p>
      <w:pPr>
        <w:spacing w:after="300" w:before="0" w:line="360"/>
        <w:jc w:val="center"/>
      </w:pPr>
      <w:r>
        <w:rPr>
          <w:rFonts w:ascii="Times New Roman" w:cs="Times New Roman" w:eastAsia="Times New Roman" w:hAnsi="Times New Roman"/>
          <w:b/>
          <w:bCs/>
          <w:i/>
          <w:iCs/>
          <w:sz w:val="20"/>
          <w:szCs w:val="20"/>
        </w:rPr>
        <w:t xml:space="preserve">Table 1. </w:t>
      </w:r>
      <w:r>
        <w:rPr>
          <w:rFonts w:ascii="Times New Roman" w:cs="Times New Roman" w:eastAsia="Times New Roman" w:hAnsi="Times New Roman"/>
          <w:i/>
          <w:iCs/>
          <w:sz w:val="20"/>
          <w:szCs w:val="20"/>
        </w:rPr>
        <w:t xml:space="preserve">Pipeline stages of canonical compilation with corresponding entropy changes and measurable power signals.</w:t>
      </w:r>
    </w:p>
    <w:p>
      <w:pPr>
        <w:spacing w:before="300" w:after="160" w:line="360"/>
        <w:jc w:val="left"/>
      </w:pPr>
      <w:r>
        <w:rPr>
          <w:rFonts w:ascii="Times New Roman" w:cs="Times New Roman" w:eastAsia="Times New Roman" w:hAnsi="Times New Roman"/>
          <w:b/>
          <w:bCs/>
          <w:i/>
          <w:iCs/>
          <w:sz w:val="26"/>
          <w:szCs w:val="26"/>
        </w:rPr>
        <w:t xml:space="preserve">3.3 Proposed Metrics</w:t>
      </w:r>
    </w:p>
    <w:p>
      <w:pPr>
        <w:spacing w:after="200" w:before="0" w:line="360"/>
        <w:ind w:firstLine="720"/>
        <w:jc w:val="both"/>
      </w:pPr>
      <w:r>
        <w:rPr>
          <w:rFonts w:ascii="Times New Roman" w:cs="Times New Roman" w:eastAsia="Times New Roman" w:hAnsi="Times New Roman"/>
          <w:sz w:val="24"/>
          <w:szCs w:val="24"/>
        </w:rPr>
        <w:t xml:space="preserve">The measurement daemon would track the following quantities per compilation event:</w:t>
      </w:r>
    </w:p>
    <w:p>
      <w:pPr>
        <w:spacing w:after="200" w:before="0" w:line="360"/>
        <w:ind w:firstLine="720"/>
        <w:jc w:val="both"/>
      </w:pPr>
      <w:r>
        <w:rPr>
          <w:rFonts w:ascii="Times New Roman" w:cs="Times New Roman" w:eastAsia="Times New Roman" w:hAnsi="Times New Roman"/>
          <w:i/>
          <w:iCs/>
          <w:sz w:val="24"/>
          <w:szCs w:val="24"/>
        </w:rPr>
        <w:t xml:space="preserve">Energy per canonicalization (E</w:t>
      </w:r>
      <w:r>
        <w:rPr>
          <w:rFonts w:ascii="Times New Roman" w:cs="Times New Roman" w:eastAsia="Times New Roman" w:hAnsi="Times New Roman"/>
          <w:i/>
          <w:iCs/>
          <w:sz w:val="18"/>
          <w:szCs w:val="18"/>
        </w:rPr>
        <w:t xml:space="preserve">c</w:t>
      </w:r>
      <w:r>
        <w:rPr>
          <w:rFonts w:ascii="Times New Roman" w:cs="Times New Roman" w:eastAsia="Times New Roman" w:hAnsi="Times New Roman"/>
          <w:i/>
          <w:iCs/>
          <w:sz w:val="24"/>
          <w:szCs w:val="24"/>
        </w:rPr>
        <w:t xml:space="preserve">): </w:t>
      </w:r>
      <w:r>
        <w:rPr>
          <w:rFonts w:ascii="Times New Roman" w:cs="Times New Roman" w:eastAsia="Times New Roman" w:hAnsi="Times New Roman"/>
          <w:sz w:val="24"/>
          <w:szCs w:val="24"/>
        </w:rPr>
        <w:t xml:space="preserve">Total joules consumed from intent receipt to verified program emission, measured via CPU and GPU power sensors (RAPL on Intel/AMD, nvidia-smi on NVIDIA hardware).</w:t>
      </w:r>
    </w:p>
    <w:p>
      <w:pPr>
        <w:spacing w:after="200" w:before="0" w:line="360"/>
        <w:ind w:firstLine="720"/>
        <w:jc w:val="both"/>
      </w:pPr>
      <w:r>
        <w:rPr>
          <w:rFonts w:ascii="Times New Roman" w:cs="Times New Roman" w:eastAsia="Times New Roman" w:hAnsi="Times New Roman"/>
          <w:i/>
          <w:iCs/>
          <w:sz w:val="24"/>
          <w:szCs w:val="24"/>
        </w:rPr>
        <w:t xml:space="preserve">Entropy reduction rate (ΔS/Δt): </w:t>
      </w:r>
      <w:r>
        <w:rPr>
          <w:rFonts w:ascii="Times New Roman" w:cs="Times New Roman" w:eastAsia="Times New Roman" w:hAnsi="Times New Roman"/>
          <w:sz w:val="24"/>
          <w:szCs w:val="24"/>
        </w:rPr>
        <w:t xml:space="preserve">Bits of stylistic entropy eliminated per second, estimated from the ratio of output space cardinality to canonical form.</w:t>
      </w:r>
    </w:p>
    <w:p>
      <w:pPr>
        <w:spacing w:after="200" w:before="0" w:line="360"/>
        <w:ind w:firstLine="720"/>
        <w:jc w:val="both"/>
      </w:pPr>
      <w:r>
        <w:rPr>
          <w:rFonts w:ascii="Times New Roman" w:cs="Times New Roman" w:eastAsia="Times New Roman" w:hAnsi="Times New Roman"/>
          <w:i/>
          <w:iCs/>
          <w:sz w:val="24"/>
          <w:szCs w:val="24"/>
        </w:rPr>
        <w:t xml:space="preserve">Memoization efficiency (η</w:t>
      </w:r>
      <w:r>
        <w:rPr>
          <w:rFonts w:ascii="Times New Roman" w:cs="Times New Roman" w:eastAsia="Times New Roman" w:hAnsi="Times New Roman"/>
          <w:i/>
          <w:iCs/>
          <w:sz w:val="18"/>
          <w:szCs w:val="18"/>
        </w:rPr>
        <w:t xml:space="preserve">m</w:t>
      </w:r>
      <w:r>
        <w:rPr>
          <w:rFonts w:ascii="Times New Roman" w:cs="Times New Roman" w:eastAsia="Times New Roman" w:hAnsi="Times New Roman"/>
          <w:i/>
          <w:iCs/>
          <w:sz w:val="24"/>
          <w:szCs w:val="24"/>
        </w:rPr>
        <w:t xml:space="preserve">): </w:t>
      </w:r>
      <w:r>
        <w:rPr>
          <w:rFonts w:ascii="Times New Roman" w:cs="Times New Roman" w:eastAsia="Times New Roman" w:hAnsi="Times New Roman"/>
          <w:sz w:val="24"/>
          <w:szCs w:val="24"/>
        </w:rPr>
        <w:t xml:space="preserve">Ratio of cache hits to total compilation requests over time, directly measuring the compound learning curve.</w:t>
      </w:r>
    </w:p>
    <w:p>
      <w:pPr>
        <w:spacing w:after="200" w:before="0" w:line="360"/>
        <w:ind w:firstLine="720"/>
        <w:jc w:val="both"/>
      </w:pPr>
      <w:r>
        <w:rPr>
          <w:rFonts w:ascii="Times New Roman" w:cs="Times New Roman" w:eastAsia="Times New Roman" w:hAnsi="Times New Roman"/>
          <w:i/>
          <w:iCs/>
          <w:sz w:val="24"/>
          <w:szCs w:val="24"/>
        </w:rPr>
        <w:t xml:space="preserve">Thermal cost per retry: </w:t>
      </w:r>
      <w:r>
        <w:rPr>
          <w:rFonts w:ascii="Times New Roman" w:cs="Times New Roman" w:eastAsia="Times New Roman" w:hAnsi="Times New Roman"/>
          <w:sz w:val="24"/>
          <w:szCs w:val="24"/>
        </w:rPr>
        <w:t xml:space="preserve">Marginal energy of regenerating a failed step versus regenerating an entire program, quantifying the economic advantage of decomposed failure.</w:t>
      </w:r>
    </w:p>
    <w:p>
      <w:pPr>
        <w:spacing w:before="300" w:after="160" w:line="360"/>
        <w:jc w:val="left"/>
      </w:pPr>
      <w:r>
        <w:rPr>
          <w:rFonts w:ascii="Times New Roman" w:cs="Times New Roman" w:eastAsia="Times New Roman" w:hAnsi="Times New Roman"/>
          <w:b/>
          <w:bCs/>
          <w:i/>
          <w:iCs/>
          <w:sz w:val="26"/>
          <w:szCs w:val="26"/>
        </w:rPr>
        <w:t xml:space="preserve">3.4 The Hair Dryer Hypothesis</w:t>
      </w:r>
    </w:p>
    <w:p>
      <w:pPr>
        <w:spacing w:after="200" w:before="0" w:line="360"/>
        <w:ind w:firstLine="720"/>
        <w:jc w:val="both"/>
      </w:pPr>
      <w:r>
        <w:rPr>
          <w:rFonts w:ascii="Times New Roman" w:cs="Times New Roman" w:eastAsia="Times New Roman" w:hAnsi="Times New Roman"/>
          <w:sz w:val="24"/>
          <w:szCs w:val="24"/>
        </w:rPr>
        <w:t xml:space="preserve">Preliminary estimation suggests that the total power consumption of a sovereignty computing stack performing canonical compilation on consumer hardware (e.g., a system with a 65W CPU and 150W GPU) would operate in the range of 50–200W sustained during active compilation—roughly one-third to two-thirds the power draw of a consumer hair dryer (1000–1800W).</w:t>
      </w:r>
    </w:p>
    <w:p>
      <w:pPr>
        <w:spacing w:after="200" w:before="0" w:line="360"/>
        <w:ind w:firstLine="720"/>
        <w:jc w:val="both"/>
      </w:pPr>
      <w:r>
        <w:rPr>
          <w:rFonts w:ascii="Times New Roman" w:cs="Times New Roman" w:eastAsia="Times New Roman" w:hAnsi="Times New Roman"/>
          <w:sz w:val="24"/>
          <w:szCs w:val="24"/>
        </w:rPr>
        <w:t xml:space="preserve">This is not a trivial observation. It establishes an intuitive upper bound: the thermodynamic cost of sorting human intent into verified canonical programs is measurably small. It is a continuous, low-grade energy expenditure—not a dramatic thermodynamic event. The demon runs warm, not hot.</w:t>
      </w:r>
    </w:p>
    <w:p>
      <w:pPr>
        <w:spacing w:before="400" w:after="200" w:line="360"/>
        <w:jc w:val="left"/>
      </w:pPr>
      <w:r>
        <w:rPr>
          <w:rFonts w:ascii="Times New Roman" w:cs="Times New Roman" w:eastAsia="Times New Roman" w:hAnsi="Times New Roman"/>
          <w:b/>
          <w:bCs/>
          <w:sz w:val="28"/>
          <w:szCs w:val="28"/>
        </w:rPr>
        <w:t xml:space="preserve">4. The Compound Demon: Memoization and Decreasing Entropic Cost</w:t>
      </w:r>
    </w:p>
    <w:p>
      <w:pPr>
        <w:spacing w:after="200" w:before="0" w:line="360"/>
        <w:ind w:firstLine="720"/>
        <w:jc w:val="both"/>
      </w:pPr>
      <w:r>
        <w:rPr>
          <w:rFonts w:ascii="Times New Roman" w:cs="Times New Roman" w:eastAsia="Times New Roman" w:hAnsi="Times New Roman"/>
          <w:sz w:val="24"/>
          <w:szCs w:val="24"/>
        </w:rPr>
        <w:t xml:space="preserve">The most theoretically novel aspect of the NOL architecture is its hash-based memoization system. Every NOL function block includes a blake3 hash of its body. The NolMemoCache uses these hashes as content-addressable keys: first encounter triggers full verification; subsequent encounters with the same hash return cached results.</w:t>
      </w:r>
    </w:p>
    <w:p>
      <w:pPr>
        <w:spacing w:after="200" w:before="0" w:line="360"/>
        <w:ind w:firstLine="720"/>
        <w:jc w:val="both"/>
      </w:pPr>
      <w:r>
        <w:rPr>
          <w:rFonts w:ascii="Times New Roman" w:cs="Times New Roman" w:eastAsia="Times New Roman" w:hAnsi="Times New Roman"/>
          <w:sz w:val="24"/>
          <w:szCs w:val="24"/>
        </w:rPr>
        <w:t xml:space="preserve">In thermodynamic terms, this creates a demon whose operational cost decreases over time.</w:t>
      </w:r>
    </w:p>
    <w:p>
      <w:pPr>
        <w:spacing w:after="200" w:before="0" w:line="360"/>
        <w:ind w:firstLine="720"/>
        <w:jc w:val="both"/>
      </w:pPr>
      <w:r>
        <w:rPr>
          <w:rFonts w:ascii="Times New Roman" w:cs="Times New Roman" w:eastAsia="Times New Roman" w:hAnsi="Times New Roman"/>
          <w:sz w:val="24"/>
          <w:szCs w:val="24"/>
        </w:rPr>
        <w:t xml:space="preserve">On first encounter with a given computation, RIVA performs the full sorting operation: inference (high energy), verification (moderate energy), hashing and caching (low energy). On subsequent encounters, the system performs only a hash comparison (negligible energy) and returns the cached verification result. The information erasure required to canonicalize that particular computation has already occurred; the cached hash is a permanent record that the erasure was performed correctly.</w:t>
      </w:r>
    </w:p>
    <w:p>
      <w:pPr>
        <w:spacing w:after="200" w:before="0" w:line="360"/>
        <w:ind w:firstLine="720"/>
        <w:jc w:val="both"/>
      </w:pPr>
      <w:r>
        <w:rPr>
          <w:rFonts w:ascii="Times New Roman" w:cs="Times New Roman" w:eastAsia="Times New Roman" w:hAnsi="Times New Roman"/>
          <w:sz w:val="24"/>
          <w:szCs w:val="24"/>
        </w:rPr>
        <w:t xml:space="preserve">This does not violate Landauer’s principle. The original erasure dissipated the required heat. What the cache does is prevent redundant erasure—the system remembers that it has already sorted this particular molecule and does not sort it again. Over time, as the cache fills with verified program hashes, the proportion of novel sorting operations decreases and the average cost per compilation event falls.</w:t>
      </w:r>
    </w:p>
    <w:p>
      <w:pPr>
        <w:spacing w:after="200" w:before="0" w:line="360"/>
        <w:ind w:firstLine="720"/>
        <w:jc w:val="both"/>
      </w:pPr>
      <w:r>
        <w:rPr>
          <w:rFonts w:ascii="Times New Roman" w:cs="Times New Roman" w:eastAsia="Times New Roman" w:hAnsi="Times New Roman"/>
          <w:sz w:val="24"/>
          <w:szCs w:val="24"/>
        </w:rPr>
        <w:t xml:space="preserve">No cloud-based code generation system exhibits this property. Cloud agents do not maintain cross-session caches of verified outputs. Every session begins from zero. The entropic cost is constant per query, regardless of history. RIVA’s cost curve is monotonically decreasing.</w:t>
      </w:r>
    </w:p>
    <w:p>
      <w:pPr>
        <w:spacing w:before="300" w:after="160" w:line="360"/>
        <w:jc w:val="left"/>
      </w:pPr>
      <w:r>
        <w:rPr>
          <w:rFonts w:ascii="Times New Roman" w:cs="Times New Roman" w:eastAsia="Times New Roman" w:hAnsi="Times New Roman"/>
          <w:b/>
          <w:bCs/>
          <w:i/>
          <w:iCs/>
          <w:sz w:val="26"/>
          <w:szCs w:val="26"/>
        </w:rPr>
        <w:t xml:space="preserve">4.1 Formal Model</w:t>
      </w:r>
    </w:p>
    <w:p>
      <w:pPr>
        <w:spacing w:after="200" w:before="0" w:line="360"/>
        <w:ind w:firstLine="720"/>
        <w:jc w:val="both"/>
      </w:pPr>
      <w:r>
        <w:rPr>
          <w:rFonts w:ascii="Times New Roman" w:cs="Times New Roman" w:eastAsia="Times New Roman" w:hAnsi="Times New Roman"/>
          <w:sz w:val="24"/>
          <w:szCs w:val="24"/>
        </w:rPr>
        <w:t xml:space="preserve">Let C(t) denote the average energy cost per compilation at time t, H(t) the cache hit rate, and E₀ the energy cost of a full (novel) compilation. Then:</w:t>
      </w:r>
    </w:p>
    <w:p>
      <w:pPr>
        <w:spacing w:before="200" w:after="200"/>
        <w:jc w:val="center"/>
      </w:pPr>
      <w:r>
        <w:rPr>
          <w:rFonts w:ascii="Courier New" w:cs="Courier New" w:eastAsia="Courier New" w:hAnsi="Courier New"/>
          <w:i/>
          <w:iCs/>
          <w:sz w:val="24"/>
          <w:szCs w:val="24"/>
        </w:rPr>
        <w:t xml:space="preserve">C(t) = E₀ × (1 − H(t)) + ε × H(t)</w:t>
      </w:r>
    </w:p>
    <w:p>
      <w:pPr>
        <w:spacing w:after="200" w:before="0" w:line="360"/>
        <w:ind w:firstLine="720"/>
        <w:jc w:val="both"/>
      </w:pPr>
      <w:r>
        <w:rPr>
          <w:rFonts w:ascii="Times New Roman" w:cs="Times New Roman" w:eastAsia="Times New Roman" w:hAnsi="Times New Roman"/>
          <w:sz w:val="24"/>
          <w:szCs w:val="24"/>
        </w:rPr>
        <w:t xml:space="preserve">where ε is the marginal energy cost of a cache lookup (ε ≪ E₀). As H(t) → 1 over a sufficiently diverse but bounded task domain, C(t) → ε. The demon approaches thermodynamic idleness as it accumulates experience.</w:t>
      </w:r>
    </w:p>
    <w:p>
      <w:pPr>
        <w:spacing w:after="200" w:before="0" w:line="360"/>
        <w:ind w:firstLine="720"/>
        <w:jc w:val="both"/>
      </w:pPr>
      <w:r>
        <w:rPr>
          <w:rFonts w:ascii="Times New Roman" w:cs="Times New Roman" w:eastAsia="Times New Roman" w:hAnsi="Times New Roman"/>
          <w:sz w:val="24"/>
          <w:szCs w:val="24"/>
        </w:rPr>
        <w:t xml:space="preserve">The rate at which H(t) increases depends on the recurrence structure of the user’s tasks. In software development, where common operations (file I/O, string manipulation, test execution) recur frequently, convergence may be rapid. Empirical measurement of H(t) across real development workflows would constitute original data in the thermodynamics of practical computation.</w:t>
      </w:r>
    </w:p>
    <w:p>
      <w:pPr>
        <w:spacing w:before="400" w:after="200" w:line="360"/>
        <w:jc w:val="left"/>
      </w:pPr>
      <w:r>
        <w:rPr>
          <w:rFonts w:ascii="Times New Roman" w:cs="Times New Roman" w:eastAsia="Times New Roman" w:hAnsi="Times New Roman"/>
          <w:b/>
          <w:bCs/>
          <w:sz w:val="28"/>
          <w:szCs w:val="28"/>
        </w:rPr>
        <w:t xml:space="preserve">5. Comparative Analysis: Cloud Demons vs. Sovereign Demons</w:t>
      </w:r>
    </w:p>
    <w:p>
      <w:pPr>
        <w:spacing w:after="200" w:before="0" w:line="360"/>
        <w:ind w:firstLine="720"/>
        <w:jc w:val="both"/>
      </w:pPr>
      <w:r>
        <w:rPr>
          <w:rFonts w:ascii="Times New Roman" w:cs="Times New Roman" w:eastAsia="Times New Roman" w:hAnsi="Times New Roman"/>
          <w:sz w:val="24"/>
          <w:szCs w:val="24"/>
        </w:rPr>
        <w:t xml:space="preserve">The thermodynamic framing reveals a structural asymmetry between cloud-based and sovereign code generation that is not captured by conventional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Property</w:t>
            </w:r>
          </w:p>
        </w:tc>
        <w:tc>
          <w:tcPr>
            <w:tcW w:type="dxa" w:w="32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Cloud Code Generation</w:t>
            </w:r>
          </w:p>
        </w:tc>
        <w:tc>
          <w:tcPr>
            <w:tcW w:type="dxa" w:w="32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Sovereign Canonical (RIVA+NOL)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Demon location</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Remote data center</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Local hardware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Heat measurability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Invisible to user</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Directly measurable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Cost per sort</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Token-priced (monetary)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Energy-priced (physical)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Memory persistence</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Session-scoped (no cache)</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Permanent (hash memoization)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Cost trajectory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Constant (flat per query)</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Decreasing (compound learning)</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Verification method</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Heuristic (LLM-based)</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Deterministic (mechanical)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Entropy accounting</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Externalized, shared</w:t>
            </w:r>
          </w:p>
        </w:tc>
        <w:tc>
          <w:tcPr>
            <w:tcW w:type="dxa" w:w="3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sz w:val="20"/>
                <w:szCs w:val="20"/>
              </w:rPr>
              <w:t xml:space="preserve">Internalized, owned</w:t>
            </w:r>
          </w:p>
        </w:tc>
      </w:tr>
    </w:tbl>
    <w:p>
      <w:pPr>
        <w:spacing w:after="100" w:before="0" w:line="360"/>
        <w:jc w:val="both"/>
      </w:pPr>
      <w:r>
        <w:rPr>
          <w:rFonts w:ascii="Times New Roman" w:cs="Times New Roman" w:eastAsia="Times New Roman" w:hAnsi="Times New Roman"/>
          <w:sz w:val="24"/>
          <w:szCs w:val="24"/>
        </w:rPr>
        <w:t xml:space="preserve"/>
      </w:r>
    </w:p>
    <w:p>
      <w:pPr>
        <w:spacing w:after="300" w:before="0" w:line="360"/>
        <w:jc w:val="center"/>
      </w:pPr>
      <w:r>
        <w:rPr>
          <w:rFonts w:ascii="Times New Roman" w:cs="Times New Roman" w:eastAsia="Times New Roman" w:hAnsi="Times New Roman"/>
          <w:b/>
          <w:bCs/>
          <w:i/>
          <w:iCs/>
          <w:sz w:val="20"/>
          <w:szCs w:val="20"/>
        </w:rPr>
        <w:t xml:space="preserve">Table 2. </w:t>
      </w:r>
      <w:r>
        <w:rPr>
          <w:rFonts w:ascii="Times New Roman" w:cs="Times New Roman" w:eastAsia="Times New Roman" w:hAnsi="Times New Roman"/>
          <w:i/>
          <w:iCs/>
          <w:sz w:val="20"/>
          <w:szCs w:val="20"/>
        </w:rPr>
        <w:t xml:space="preserve">Structural comparison of cloud and sovereign code generation through a thermodynamic lens.</w:t>
      </w:r>
    </w:p>
    <w:p>
      <w:pPr>
        <w:spacing w:after="200" w:before="0" w:line="360"/>
        <w:ind w:firstLine="720"/>
        <w:jc w:val="both"/>
      </w:pPr>
      <w:r>
        <w:rPr>
          <w:rFonts w:ascii="Times New Roman" w:cs="Times New Roman" w:eastAsia="Times New Roman" w:hAnsi="Times New Roman"/>
          <w:sz w:val="24"/>
          <w:szCs w:val="24"/>
        </w:rPr>
        <w:t xml:space="preserve">The final row is perhaps the most consequential. In cloud computing, the thermodynamic cost of code generation is externalized: the user pays monetary cost while the physical entropy is produced in data centers whose energy accounting is opaque. In sovereign computing, the user bears and measures the physical cost directly. This is not merely a philosophical distinction—it is an empirically testable claim about where heat is produced and who can observe it.</w:t>
      </w:r>
    </w:p>
    <w:p>
      <w:pPr>
        <w:spacing w:before="400" w:after="200" w:line="360"/>
        <w:jc w:val="left"/>
      </w:pPr>
      <w:r>
        <w:rPr>
          <w:rFonts w:ascii="Times New Roman" w:cs="Times New Roman" w:eastAsia="Times New Roman" w:hAnsi="Times New Roman"/>
          <w:b/>
          <w:bCs/>
          <w:sz w:val="28"/>
          <w:szCs w:val="28"/>
        </w:rPr>
        <w:t xml:space="preserve">6. Implications and Future Directions</w:t>
      </w:r>
    </w:p>
    <w:p>
      <w:pPr>
        <w:spacing w:before="300" w:after="160" w:line="360"/>
        <w:jc w:val="left"/>
      </w:pPr>
      <w:r>
        <w:rPr>
          <w:rFonts w:ascii="Times New Roman" w:cs="Times New Roman" w:eastAsia="Times New Roman" w:hAnsi="Times New Roman"/>
          <w:b/>
          <w:bCs/>
          <w:i/>
          <w:iCs/>
          <w:sz w:val="26"/>
          <w:szCs w:val="26"/>
        </w:rPr>
        <w:t xml:space="preserve">6.1 Empirical Information Theory</w:t>
      </w:r>
    </w:p>
    <w:p>
      <w:pPr>
        <w:spacing w:after="200" w:before="0" w:line="360"/>
        <w:ind w:firstLine="720"/>
        <w:jc w:val="both"/>
      </w:pPr>
      <w:r>
        <w:rPr>
          <w:rFonts w:ascii="Times New Roman" w:cs="Times New Roman" w:eastAsia="Times New Roman" w:hAnsi="Times New Roman"/>
          <w:sz w:val="24"/>
          <w:szCs w:val="24"/>
        </w:rPr>
        <w:t xml:space="preserve">If implemented, the measurement framework described in Section 3 would produce the first empirical dataset linking specific software engineering operations to their thermodynamic cost. While the absolute magnitudes will be dominated by hardware inefficiency rather than Landauer limits, the relative measurements—energy per novel compilation versus cached compilation, energy per Python generation versus canonical generation—would constitute original data in the applied thermodynamics of computation.</w:t>
      </w:r>
    </w:p>
    <w:p>
      <w:pPr>
        <w:spacing w:before="300" w:after="160" w:line="360"/>
        <w:jc w:val="left"/>
      </w:pPr>
      <w:r>
        <w:rPr>
          <w:rFonts w:ascii="Times New Roman" w:cs="Times New Roman" w:eastAsia="Times New Roman" w:hAnsi="Times New Roman"/>
          <w:b/>
          <w:bCs/>
          <w:i/>
          <w:iCs/>
          <w:sz w:val="26"/>
          <w:szCs w:val="26"/>
        </w:rPr>
        <w:t xml:space="preserve">6.2 A Physical Metric for Code Quality</w:t>
      </w:r>
    </w:p>
    <w:p>
      <w:pPr>
        <w:spacing w:after="200" w:before="0" w:line="360"/>
        <w:ind w:firstLine="720"/>
        <w:jc w:val="both"/>
      </w:pPr>
      <w:r>
        <w:rPr>
          <w:rFonts w:ascii="Times New Roman" w:cs="Times New Roman" w:eastAsia="Times New Roman" w:hAnsi="Times New Roman"/>
          <w:sz w:val="24"/>
          <w:szCs w:val="24"/>
        </w:rPr>
        <w:t xml:space="preserve">An unexpected implication: if canonical form eliminates stylistic entropy, then the energy difference between generating Python and generating NOL for the same computation is a physical measurement of stylistic overhead. The joules spent on naming conventions, formatting decisions, and style choices have a measurable thermal signature. This suggests a novel code quality metric: the thermodynamic distance between a program and its canonical representation.</w:t>
      </w:r>
    </w:p>
    <w:p>
      <w:pPr>
        <w:spacing w:before="300" w:after="160" w:line="360"/>
        <w:jc w:val="left"/>
      </w:pPr>
      <w:r>
        <w:rPr>
          <w:rFonts w:ascii="Times New Roman" w:cs="Times New Roman" w:eastAsia="Times New Roman" w:hAnsi="Times New Roman"/>
          <w:b/>
          <w:bCs/>
          <w:i/>
          <w:iCs/>
          <w:sz w:val="26"/>
          <w:szCs w:val="26"/>
        </w:rPr>
        <w:t xml:space="preserve">6.3 Democratization Through Constraint</w:t>
      </w:r>
    </w:p>
    <w:p>
      <w:pPr>
        <w:spacing w:after="200" w:before="0" w:line="360"/>
        <w:ind w:firstLine="720"/>
        <w:jc w:val="both"/>
      </w:pPr>
      <w:r>
        <w:rPr>
          <w:rFonts w:ascii="Times New Roman" w:cs="Times New Roman" w:eastAsia="Times New Roman" w:hAnsi="Times New Roman"/>
          <w:sz w:val="24"/>
          <w:szCs w:val="24"/>
        </w:rPr>
        <w:t xml:space="preserve">The NOL architecture’s premise is that constraining the output space enables smaller models to generate correct code. If the thermodynamic cost of generation is proportional to the entropy of the output space, then canonical form does not merely reduce computational complexity—it reduces the physical energy required per correct program. Smaller models on more modest hardware can perform the sorting operation because there is less information to erase. The constraint is an enabler not only computationally but thermodynamically.</w:t>
      </w:r>
    </w:p>
    <w:p>
      <w:pPr>
        <w:spacing w:before="300" w:after="160" w:line="360"/>
        <w:jc w:val="left"/>
      </w:pPr>
      <w:r>
        <w:rPr>
          <w:rFonts w:ascii="Times New Roman" w:cs="Times New Roman" w:eastAsia="Times New Roman" w:hAnsi="Times New Roman"/>
          <w:b/>
          <w:bCs/>
          <w:i/>
          <w:iCs/>
          <w:sz w:val="26"/>
          <w:szCs w:val="26"/>
        </w:rPr>
        <w:t xml:space="preserve">6.4 The Sovereignty Thesis, Restated</w:t>
      </w:r>
    </w:p>
    <w:p>
      <w:pPr>
        <w:spacing w:after="200" w:before="0" w:line="360"/>
        <w:ind w:firstLine="720"/>
        <w:jc w:val="both"/>
      </w:pPr>
      <w:r>
        <w:rPr>
          <w:rFonts w:ascii="Times New Roman" w:cs="Times New Roman" w:eastAsia="Times New Roman" w:hAnsi="Times New Roman"/>
          <w:sz w:val="24"/>
          <w:szCs w:val="24"/>
        </w:rPr>
        <w:t xml:space="preserve">The broader Talking Rock project argues that sovereignty—full ownership of one’s computational infrastructure—trades speed for trust. The thermodynamic analysis adds a dimension: sovereignty also trades opacity for measurability. When you own the demon, you can measure its heat. When you rent the demon, you cannot.</w:t>
      </w:r>
    </w:p>
    <w:p>
      <w:pPr>
        <w:spacing w:after="200" w:before="0" w:line="360"/>
        <w:ind w:firstLine="720"/>
        <w:jc w:val="both"/>
      </w:pPr>
      <w:r>
        <w:rPr>
          <w:rFonts w:ascii="Times New Roman" w:cs="Times New Roman" w:eastAsia="Times New Roman" w:hAnsi="Times New Roman"/>
          <w:sz w:val="24"/>
          <w:szCs w:val="24"/>
        </w:rPr>
        <w:t xml:space="preserve">This measurability has practical consequences. A user who can measure the energy cost of each compilation can optimize their workflow empirically. A user who can observe the memoization efficiency curve can quantify the compound return on their investment in local infrastructure. These are not abstract benefits; they are instrument readings on hardware the user owns.</w:t>
      </w:r>
    </w:p>
    <w:p>
      <w:pPr>
        <w:spacing w:before="400" w:after="200" w:line="360"/>
        <w:jc w:val="left"/>
      </w:pPr>
      <w:r>
        <w:rPr>
          <w:rFonts w:ascii="Times New Roman" w:cs="Times New Roman" w:eastAsia="Times New Roman" w:hAnsi="Times New Roman"/>
          <w:b/>
          <w:bCs/>
          <w:sz w:val="28"/>
          <w:szCs w:val="28"/>
        </w:rPr>
        <w:t xml:space="preserve">7. Limitations</w:t>
      </w:r>
    </w:p>
    <w:p>
      <w:pPr>
        <w:spacing w:after="200" w:before="0" w:line="360"/>
        <w:ind w:firstLine="720"/>
        <w:jc w:val="both"/>
      </w:pPr>
      <w:r>
        <w:rPr>
          <w:rFonts w:ascii="Times New Roman" w:cs="Times New Roman" w:eastAsia="Times New Roman" w:hAnsi="Times New Roman"/>
          <w:sz w:val="24"/>
          <w:szCs w:val="24"/>
        </w:rPr>
        <w:t xml:space="preserve">Several important limitations constrain this analysis. The Landauer bound (kT ln 2 per bit) is many orders of magnitude below practical computation costs. Real transistor switching dissipates roughly 10⁶ times the Landauer minimum. The theoretical framework provides conceptual structure but should not be confused with practical energy optimization.</w:t>
      </w:r>
    </w:p>
    <w:p>
      <w:pPr>
        <w:spacing w:after="200" w:before="0" w:line="360"/>
        <w:ind w:firstLine="720"/>
        <w:jc w:val="both"/>
      </w:pPr>
      <w:r>
        <w:rPr>
          <w:rFonts w:ascii="Times New Roman" w:cs="Times New Roman" w:eastAsia="Times New Roman" w:hAnsi="Times New Roman"/>
          <w:sz w:val="24"/>
          <w:szCs w:val="24"/>
        </w:rPr>
        <w:t xml:space="preserve">The stylistic entropy estimates are necessarily approximate. Calculating the true output space cardinality of valid Python programs for a given computation requires assumptions about naming conventions, formatting rules, and style preferences that vary across codebases.</w:t>
      </w:r>
    </w:p>
    <w:p>
      <w:pPr>
        <w:spacing w:after="200" w:before="0" w:line="360"/>
        <w:ind w:firstLine="720"/>
        <w:jc w:val="both"/>
      </w:pPr>
      <w:r>
        <w:rPr>
          <w:rFonts w:ascii="Times New Roman" w:cs="Times New Roman" w:eastAsia="Times New Roman" w:hAnsi="Times New Roman"/>
          <w:sz w:val="24"/>
          <w:szCs w:val="24"/>
        </w:rPr>
        <w:t xml:space="preserve">The memoization efficiency model assumes a bounded task domain with recurring operations. In exploratory or highly novel development workflows, cache hit rates may remain low, and the decreasing cost curve may flatten early.</w:t>
      </w:r>
    </w:p>
    <w:p>
      <w:pPr>
        <w:spacing w:after="200" w:before="0" w:line="360"/>
        <w:ind w:firstLine="720"/>
        <w:jc w:val="both"/>
      </w:pPr>
      <w:r>
        <w:rPr>
          <w:rFonts w:ascii="Times New Roman" w:cs="Times New Roman" w:eastAsia="Times New Roman" w:hAnsi="Times New Roman"/>
          <w:sz w:val="24"/>
          <w:szCs w:val="24"/>
        </w:rPr>
        <w:t xml:space="preserve">Finally, this is a theoretical framework paper. No empirical measurements have yet been collected. The value of the framework depends on whether the proposed measurements, once implemented, reveal meaningful structure—or whether hardware noise drowns the signal.</w:t>
      </w:r>
    </w:p>
    <w:p>
      <w:pPr>
        <w:spacing w:before="400" w:after="200" w:line="360"/>
        <w:jc w:val="left"/>
      </w:pPr>
      <w:r>
        <w:rPr>
          <w:rFonts w:ascii="Times New Roman" w:cs="Times New Roman" w:eastAsia="Times New Roman" w:hAnsi="Times New Roman"/>
          <w:b/>
          <w:bCs/>
          <w:sz w:val="28"/>
          <w:szCs w:val="28"/>
        </w:rPr>
        <w:t xml:space="preserve">8. Conclusion</w:t>
      </w:r>
    </w:p>
    <w:p>
      <w:pPr>
        <w:spacing w:after="200" w:before="0" w:line="360"/>
        <w:ind w:firstLine="720"/>
        <w:jc w:val="both"/>
      </w:pPr>
      <w:r>
        <w:rPr>
          <w:rFonts w:ascii="Times New Roman" w:cs="Times New Roman" w:eastAsia="Times New Roman" w:hAnsi="Times New Roman"/>
          <w:sz w:val="24"/>
          <w:szCs w:val="24"/>
        </w:rPr>
        <w:t xml:space="preserve">We have argued that canonical-form code generation is a physically grounded instance of Landauer’s principle: the transformation from natural language to canonical bytecode erases information and produces heat. The autonomous coding agent performing this transformation is a Maxwell’s Demon whose thermodynamic cost is measurable on sovereign hardware. Hash-based memoization creates a demon whose cost decreases with experience—a compound advantage with no analog in stateless cloud architectures.</w:t>
      </w:r>
    </w:p>
    <w:p>
      <w:pPr>
        <w:spacing w:after="200" w:before="0" w:line="360"/>
        <w:ind w:firstLine="720"/>
        <w:jc w:val="both"/>
      </w:pPr>
      <w:r>
        <w:rPr>
          <w:rFonts w:ascii="Times New Roman" w:cs="Times New Roman" w:eastAsia="Times New Roman" w:hAnsi="Times New Roman"/>
          <w:sz w:val="24"/>
          <w:szCs w:val="24"/>
        </w:rPr>
        <w:t xml:space="preserve">The practical consequence is straightforward. The cost of sovereignty is measurable. On current consumer hardware, it runs in the range of tens to hundreds of watts—roughly the power of a small appliance. This cost is real, finite, and decreasing. The cost of cloud code generation, by contrast, is monetarily priced but physically opaque: the user cannot see the demon’s heat.</w:t>
      </w:r>
    </w:p>
    <w:p>
      <w:pPr>
        <w:spacing w:after="200" w:before="0" w:line="360"/>
        <w:ind w:firstLine="720"/>
        <w:jc w:val="both"/>
      </w:pPr>
      <w:r>
        <w:rPr>
          <w:rFonts w:ascii="Times New Roman" w:cs="Times New Roman" w:eastAsia="Times New Roman" w:hAnsi="Times New Roman"/>
          <w:sz w:val="24"/>
          <w:szCs w:val="24"/>
        </w:rPr>
        <w:t xml:space="preserve">The deepest implication may be philosophical. If computation has irreducible thermodynamic cost, then the question “who pays the entropy?” is not metaphorical. It is a question about physics, about ownership, and about the measurable cost of transforming intent into verified action. Sovereignty computing answers: the user pays, the user measures, and the user keeps the receipt.</w:t>
      </w:r>
    </w:p>
    <w:p>
      <w:pPr>
        <w:spacing w:before="400"/>
      </w:pPr>
    </w:p>
    <w:p>
      <w:pPr>
        <w:spacing w:before="400" w:after="200" w:line="360"/>
        <w:jc w:val="left"/>
      </w:pPr>
      <w:r>
        <w:rPr>
          <w:rFonts w:ascii="Times New Roman" w:cs="Times New Roman" w:eastAsia="Times New Roman" w:hAnsi="Times New Roman"/>
          <w:b/>
          <w:bCs/>
          <w:sz w:val="28"/>
          <w:szCs w:val="28"/>
        </w:rPr>
        <w:t xml:space="preserve">References</w:t>
      </w:r>
    </w:p>
    <w:p>
      <w:pPr>
        <w:spacing w:after="120" w:before="0" w:line="360"/>
        <w:jc w:val="left"/>
      </w:pPr>
      <w:r>
        <w:rPr>
          <w:rFonts w:ascii="Times New Roman" w:cs="Times New Roman" w:eastAsia="Times New Roman" w:hAnsi="Times New Roman"/>
          <w:sz w:val="22"/>
          <w:szCs w:val="22"/>
        </w:rPr>
        <w:t xml:space="preserve">Bennett, C.H. (1982). </w:t>
      </w:r>
      <w:r>
        <w:rPr>
          <w:rFonts w:ascii="Times New Roman" w:cs="Times New Roman" w:eastAsia="Times New Roman" w:hAnsi="Times New Roman"/>
          <w:i/>
          <w:iCs/>
          <w:sz w:val="22"/>
          <w:szCs w:val="22"/>
        </w:rPr>
        <w:t xml:space="preserve">The thermodynamics of computation—a review. </w:t>
      </w:r>
      <w:r>
        <w:rPr>
          <w:rFonts w:ascii="Times New Roman" w:cs="Times New Roman" w:eastAsia="Times New Roman" w:hAnsi="Times New Roman"/>
          <w:sz w:val="22"/>
          <w:szCs w:val="22"/>
        </w:rPr>
        <w:t xml:space="preserve">International Journal of Theoretical Physics, 21(12), 905–940.</w:t>
      </w:r>
    </w:p>
    <w:p>
      <w:pPr>
        <w:spacing w:after="120" w:before="0" w:line="360"/>
        <w:jc w:val="left"/>
      </w:pPr>
      <w:r>
        <w:rPr>
          <w:rFonts w:ascii="Times New Roman" w:cs="Times New Roman" w:eastAsia="Times New Roman" w:hAnsi="Times New Roman"/>
          <w:sz w:val="22"/>
          <w:szCs w:val="22"/>
        </w:rPr>
        <w:t xml:space="preserve">Brengel, K. (2025). </w:t>
      </w:r>
      <w:r>
        <w:rPr>
          <w:rFonts w:ascii="Times New Roman" w:cs="Times New Roman" w:eastAsia="Times New Roman" w:hAnsi="Times New Roman"/>
          <w:i/>
          <w:iCs/>
          <w:sz w:val="22"/>
          <w:szCs w:val="22"/>
        </w:rPr>
        <w:t xml:space="preserve">NoLang specification: A canonical instruction set for verified autonomous code generation. </w:t>
      </w:r>
      <w:r>
        <w:rPr>
          <w:rFonts w:ascii="Times New Roman" w:cs="Times New Roman" w:eastAsia="Times New Roman" w:hAnsi="Times New Roman"/>
          <w:sz w:val="22"/>
          <w:szCs w:val="22"/>
        </w:rPr>
        <w:t xml:space="preserve">Talking Rock Project Technical Documentation.</w:t>
      </w:r>
    </w:p>
    <w:p>
      <w:pPr>
        <w:spacing w:after="120" w:before="0" w:line="360"/>
        <w:jc w:val="left"/>
      </w:pPr>
      <w:r>
        <w:rPr>
          <w:rFonts w:ascii="Times New Roman" w:cs="Times New Roman" w:eastAsia="Times New Roman" w:hAnsi="Times New Roman"/>
          <w:sz w:val="22"/>
          <w:szCs w:val="22"/>
        </w:rPr>
        <w:t xml:space="preserve">Brengel, K. (2026). </w:t>
      </w:r>
      <w:r>
        <w:rPr>
          <w:rFonts w:ascii="Times New Roman" w:cs="Times New Roman" w:eastAsia="Times New Roman" w:hAnsi="Times New Roman"/>
          <w:i/>
          <w:iCs/>
          <w:sz w:val="22"/>
          <w:szCs w:val="22"/>
        </w:rPr>
        <w:t xml:space="preserve">NOL as RIVA’s backend: Strategic advantage analysis. </w:t>
      </w:r>
      <w:r>
        <w:rPr>
          <w:rFonts w:ascii="Times New Roman" w:cs="Times New Roman" w:eastAsia="Times New Roman" w:hAnsi="Times New Roman"/>
          <w:sz w:val="22"/>
          <w:szCs w:val="22"/>
        </w:rPr>
        <w:t xml:space="preserve">Talking Rock Project Working Papers.</w:t>
      </w:r>
    </w:p>
    <w:p>
      <w:pPr>
        <w:spacing w:after="120" w:before="0" w:line="360"/>
        <w:jc w:val="left"/>
      </w:pPr>
      <w:r>
        <w:rPr>
          <w:rFonts w:ascii="Times New Roman" w:cs="Times New Roman" w:eastAsia="Times New Roman" w:hAnsi="Times New Roman"/>
          <w:sz w:val="22"/>
          <w:szCs w:val="22"/>
        </w:rPr>
        <w:t xml:space="preserve">Landauer, R. (1961). </w:t>
      </w:r>
      <w:r>
        <w:rPr>
          <w:rFonts w:ascii="Times New Roman" w:cs="Times New Roman" w:eastAsia="Times New Roman" w:hAnsi="Times New Roman"/>
          <w:i/>
          <w:iCs/>
          <w:sz w:val="22"/>
          <w:szCs w:val="22"/>
        </w:rPr>
        <w:t xml:space="preserve">Irreversibility and heat generation in the computing process. </w:t>
      </w:r>
      <w:r>
        <w:rPr>
          <w:rFonts w:ascii="Times New Roman" w:cs="Times New Roman" w:eastAsia="Times New Roman" w:hAnsi="Times New Roman"/>
          <w:sz w:val="22"/>
          <w:szCs w:val="22"/>
        </w:rPr>
        <w:t xml:space="preserve">IBM Journal of Research and Development, 5(3), 183–191.</w:t>
      </w:r>
    </w:p>
    <w:p>
      <w:pPr>
        <w:spacing w:after="120" w:before="0" w:line="360"/>
        <w:jc w:val="left"/>
      </w:pPr>
      <w:r>
        <w:rPr>
          <w:rFonts w:ascii="Times New Roman" w:cs="Times New Roman" w:eastAsia="Times New Roman" w:hAnsi="Times New Roman"/>
          <w:sz w:val="22"/>
          <w:szCs w:val="22"/>
        </w:rPr>
        <w:t xml:space="preserve">Maxwell, J.C. (1871). </w:t>
      </w:r>
      <w:r>
        <w:rPr>
          <w:rFonts w:ascii="Times New Roman" w:cs="Times New Roman" w:eastAsia="Times New Roman" w:hAnsi="Times New Roman"/>
          <w:i/>
          <w:iCs/>
          <w:sz w:val="22"/>
          <w:szCs w:val="22"/>
        </w:rPr>
        <w:t xml:space="preserve">Theory of Heat. </w:t>
      </w:r>
      <w:r>
        <w:rPr>
          <w:rFonts w:ascii="Times New Roman" w:cs="Times New Roman" w:eastAsia="Times New Roman" w:hAnsi="Times New Roman"/>
          <w:sz w:val="22"/>
          <w:szCs w:val="22"/>
        </w:rPr>
        <w:t xml:space="preserve">London: Longmans, Green, and Co.</w:t>
      </w:r>
    </w:p>
    <w:p>
      <w:pPr>
        <w:spacing w:after="120" w:before="0" w:line="360"/>
        <w:jc w:val="left"/>
      </w:pPr>
      <w:r>
        <w:rPr>
          <w:rFonts w:ascii="Times New Roman" w:cs="Times New Roman" w:eastAsia="Times New Roman" w:hAnsi="Times New Roman"/>
          <w:sz w:val="22"/>
          <w:szCs w:val="22"/>
        </w:rPr>
        <w:t xml:space="preserve">Shannon, C.E. (1948). </w:t>
      </w:r>
      <w:r>
        <w:rPr>
          <w:rFonts w:ascii="Times New Roman" w:cs="Times New Roman" w:eastAsia="Times New Roman" w:hAnsi="Times New Roman"/>
          <w:i/>
          <w:iCs/>
          <w:sz w:val="22"/>
          <w:szCs w:val="22"/>
        </w:rPr>
        <w:t xml:space="preserve">A mathematical theory of communication. </w:t>
      </w:r>
      <w:r>
        <w:rPr>
          <w:rFonts w:ascii="Times New Roman" w:cs="Times New Roman" w:eastAsia="Times New Roman" w:hAnsi="Times New Roman"/>
          <w:sz w:val="22"/>
          <w:szCs w:val="22"/>
        </w:rPr>
        <w:t xml:space="preserve">Bell System Technical Journal, 27(3), 379–423.</w:t>
      </w:r>
    </w:p>
    <w:p>
      <w:pPr>
        <w:spacing w:after="120" w:before="0" w:line="360"/>
        <w:jc w:val="left"/>
      </w:pPr>
      <w:r>
        <w:rPr>
          <w:rFonts w:ascii="Times New Roman" w:cs="Times New Roman" w:eastAsia="Times New Roman" w:hAnsi="Times New Roman"/>
          <w:sz w:val="22"/>
          <w:szCs w:val="22"/>
        </w:rPr>
        <w:t xml:space="preserve">Szilard, L. (1929). </w:t>
      </w:r>
      <w:r>
        <w:rPr>
          <w:rFonts w:ascii="Times New Roman" w:cs="Times New Roman" w:eastAsia="Times New Roman" w:hAnsi="Times New Roman"/>
          <w:i/>
          <w:iCs/>
          <w:sz w:val="22"/>
          <w:szCs w:val="22"/>
        </w:rPr>
        <w:t xml:space="preserve">Über die Entropieverminderung in einem thermodynamischen System bei Eingriffen intelligenter Wesen. </w:t>
      </w:r>
      <w:r>
        <w:rPr>
          <w:rFonts w:ascii="Times New Roman" w:cs="Times New Roman" w:eastAsia="Times New Roman" w:hAnsi="Times New Roman"/>
          <w:sz w:val="22"/>
          <w:szCs w:val="22"/>
        </w:rPr>
        <w:t xml:space="preserve">Zeitschrift für Physik, 53(11–12), 840–856.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Thermodynamic Cost of Canonical Form Computation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2026-02-24T21:58:28.130Z</dcterms:created>
  <dcterms:modified xsi:type="dcterms:W3CDTF">2026-02-24T21:58:28.131Z</dcterms:modified>
</cp:coreProperties>
</file>

<file path=docProps/custom.xml><?xml version="1.0" encoding="utf-8"?>
<Properties xmlns="http://schemas.openxmlformats.org/officeDocument/2006/custom-properties" xmlns:vt="http://schemas.openxmlformats.org/officeDocument/2006/docPropsVTypes"/>
</file>