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7305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66436C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Normalization, data Split, </w:t>
            </w:r>
            <w:proofErr w:type="spellStart"/>
            <w:r>
              <w:rPr>
                <w:rFonts w:hint="eastAsia"/>
              </w:rPr>
              <w:t>OnehotEncording</w:t>
            </w:r>
            <w:proofErr w:type="spellEnd"/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810D0">
              <w:rPr>
                <w:rFonts w:ascii="Times New Roman" w:hAnsi="Times New Roman" w:cs="Times New Roman" w:hint="eastAsia"/>
              </w:rPr>
              <w:t>26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7810D0">
              <w:rPr>
                <w:rFonts w:ascii="맑은 고딕" w:eastAsia="맑은 고딕" w:hAnsi="맑은 고딕" w:cs="맑은 고딕" w:hint="eastAsia"/>
              </w:rPr>
              <w:t>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  <w:bookmarkStart w:id="0" w:name="_GoBack"/>
            <w:bookmarkEnd w:id="0"/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BD5594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436C" w:rsidRDefault="0066436C" w:rsidP="0066436C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Normalization(정규화)</w:t>
            </w:r>
          </w:p>
          <w:p w:rsid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데이터에 여러 특성이 들어있을 경우 서로 규격이 맞지 않는 경우가 있다. 이럴 경우 그 데이터를 그대로 학습시키게 되면 결과에 오차가 커지는 경우가 있다.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이럴때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정규화를 해준다. 정규화는 표준화와도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어쩔땐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비슷한 의미로 사용되기도 한다. 표준화는 결국 z-score로 값을 변환하는 것으로 전체 보유한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데이터를평균이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0이고 분산이 1이 되도록 만드는 것이다. 정규화의 경우에는 정의가 좀 복잡한데, 표준화를 모두 포함하여 전체적으로 두리뭉실하게 말할 때에는 정규화가 전체를 포함하기도 하는데 여기서는 Mean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Noramalization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만 설명하여 -1과 1사이에서 값을 가지고 샘플 평균이 0이 되는 샘플로 만드는 과정이 대표적이다. 정규화를 위한 함수를 간단히 만들어보자면</w:t>
            </w:r>
          </w:p>
          <w:p w:rsid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ef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min_max_norm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(x):</w:t>
            </w:r>
          </w:p>
          <w:p w:rsid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 xml:space="preserve">eturn(x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데이터 최소값) / (데이터 최대값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데이터 최소값)</w:t>
            </w:r>
          </w:p>
          <w:p w:rsid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ef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standard_norm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(x) :</w:t>
            </w:r>
          </w:p>
          <w:p w:rsid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 xml:space="preserve">eturn (x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데이터 평균) / 데이터 표준편차</w:t>
            </w:r>
          </w:p>
          <w:p w:rsidR="0066436C" w:rsidRDefault="0066436C" w:rsidP="0066436C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ata Split</w:t>
            </w:r>
          </w:p>
          <w:p w:rsid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분할은 중요하다. 컴퓨터가 학습 할 수 있게 적절한 샘플을 취해 골고루 섞어 트레인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데이터셋과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테스트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데이터셋을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나눠야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학습망의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성취율이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증가한다.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파이썬의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내장 함수들을 이용해 자신이 직접 데이터 셋과 테스트 셋을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나눌수도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있지만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패키지는 이런 데이터 분할을 쉽게 해주는 역할을 하므로 데이터가 커지면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패키지의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train_test_split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패키지를 잘 활용하자. </w:t>
            </w:r>
          </w:p>
          <w:p w:rsidR="0066436C" w:rsidRDefault="0066436C" w:rsidP="0066436C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One hot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Encording</w:t>
            </w:r>
            <w:proofErr w:type="spellEnd"/>
          </w:p>
          <w:p w:rsidR="0066436C" w:rsidRPr="0066436C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모델링을 할 때 숫자가 아닌 독립변수 값을 쓸 수 없기 때문에, 범주형 독립변수는 적절히 처리해야 한다. 범주형 독립변수를 처리하는 가장 일반적인 방법은 더미변수로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변환하는것이다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. 해당하는 값에 대하여 맞으면 1, 아니면 0을 부여한다. 즉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고유값에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해당되는 특징에는 1, 나머지는 0을 부여한다. </w:t>
            </w: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 xml:space="preserve">ata split과 마찬가지로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사이킷런에서는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LabelEncoder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패키지를 지원하므로 잘 활용하자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LabelEncoder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는 독립 변수가 아닌 종속 변수(라벨)에 대해 사용한다. 문자열이나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정수로된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라벨 값을 0~K-1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까지의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정수로 변환</w:t>
            </w:r>
          </w:p>
          <w:p w:rsidR="0066436C" w:rsidRDefault="0066436C" w:rsidP="0066436C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 xml:space="preserve">allback </w:t>
            </w:r>
          </w:p>
          <w:p w:rsidR="001443B9" w:rsidRPr="007810D0" w:rsidRDefault="0066436C" w:rsidP="0066436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Callback 함수의 early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Stoping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을 활용하면 적절한 학습 중단점을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찾을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있다.  </w:t>
            </w:r>
            <w:r w:rsidR="00507CAB">
              <w:rPr>
                <w:rFonts w:ascii="맑은 고딕" w:eastAsia="맑은 고딕" w:hAnsi="맑은 고딕" w:cs="맑은 고딕"/>
              </w:rPr>
              <w:t>H</w:t>
            </w:r>
            <w:r w:rsidR="00507CAB">
              <w:rPr>
                <w:rFonts w:ascii="맑은 고딕" w:eastAsia="맑은 고딕" w:hAnsi="맑은 고딕" w:cs="맑은 고딕" w:hint="eastAsia"/>
              </w:rPr>
              <w:t xml:space="preserve">5는 우리가 학습한 가중치까지 들어가 있는 저장 </w:t>
            </w:r>
            <w:proofErr w:type="gramStart"/>
            <w:r w:rsidR="00507CAB">
              <w:rPr>
                <w:rFonts w:ascii="맑은 고딕" w:eastAsia="맑은 고딕" w:hAnsi="맑은 고딕" w:cs="맑은 고딕" w:hint="eastAsia"/>
              </w:rPr>
              <w:t>모델이다 .</w:t>
            </w:r>
            <w:proofErr w:type="gramEnd"/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0A9"/>
    <w:multiLevelType w:val="hybridMultilevel"/>
    <w:tmpl w:val="6F941F1A"/>
    <w:lvl w:ilvl="0" w:tplc="B582B104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CFA5DF1"/>
    <w:multiLevelType w:val="hybridMultilevel"/>
    <w:tmpl w:val="C4683D12"/>
    <w:lvl w:ilvl="0" w:tplc="AF6A1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51F778A"/>
    <w:multiLevelType w:val="hybridMultilevel"/>
    <w:tmpl w:val="7952B8A8"/>
    <w:lvl w:ilvl="0" w:tplc="F61C5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D10B40"/>
    <w:multiLevelType w:val="hybridMultilevel"/>
    <w:tmpl w:val="EB4EB626"/>
    <w:lvl w:ilvl="0" w:tplc="C66461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F43101A"/>
    <w:multiLevelType w:val="hybridMultilevel"/>
    <w:tmpl w:val="686A1156"/>
    <w:lvl w:ilvl="0" w:tplc="234208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3101D48"/>
    <w:multiLevelType w:val="hybridMultilevel"/>
    <w:tmpl w:val="3C5CE25C"/>
    <w:lvl w:ilvl="0" w:tplc="65C80D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4456430"/>
    <w:multiLevelType w:val="hybridMultilevel"/>
    <w:tmpl w:val="C1A4687A"/>
    <w:lvl w:ilvl="0" w:tplc="ADEA9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1"/>
  </w:num>
  <w:num w:numId="4">
    <w:abstractNumId w:val="1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2"/>
  </w:num>
  <w:num w:numId="10">
    <w:abstractNumId w:val="23"/>
  </w:num>
  <w:num w:numId="11">
    <w:abstractNumId w:val="19"/>
  </w:num>
  <w:num w:numId="12">
    <w:abstractNumId w:val="15"/>
  </w:num>
  <w:num w:numId="13">
    <w:abstractNumId w:val="2"/>
  </w:num>
  <w:num w:numId="14">
    <w:abstractNumId w:val="24"/>
  </w:num>
  <w:num w:numId="15">
    <w:abstractNumId w:val="9"/>
  </w:num>
  <w:num w:numId="16">
    <w:abstractNumId w:val="25"/>
  </w:num>
  <w:num w:numId="17">
    <w:abstractNumId w:val="4"/>
  </w:num>
  <w:num w:numId="18">
    <w:abstractNumId w:val="8"/>
  </w:num>
  <w:num w:numId="19">
    <w:abstractNumId w:val="10"/>
  </w:num>
  <w:num w:numId="20">
    <w:abstractNumId w:val="7"/>
  </w:num>
  <w:num w:numId="21">
    <w:abstractNumId w:val="16"/>
  </w:num>
  <w:num w:numId="22">
    <w:abstractNumId w:val="20"/>
  </w:num>
  <w:num w:numId="23">
    <w:abstractNumId w:val="22"/>
  </w:num>
  <w:num w:numId="24">
    <w:abstractNumId w:val="0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443B9"/>
    <w:rsid w:val="001A7F37"/>
    <w:rsid w:val="00210A03"/>
    <w:rsid w:val="00213AB7"/>
    <w:rsid w:val="00341DA4"/>
    <w:rsid w:val="00507CAB"/>
    <w:rsid w:val="00567C7D"/>
    <w:rsid w:val="005D41ED"/>
    <w:rsid w:val="005F2AC5"/>
    <w:rsid w:val="0066436C"/>
    <w:rsid w:val="00677276"/>
    <w:rsid w:val="006860BF"/>
    <w:rsid w:val="006A2545"/>
    <w:rsid w:val="007515FD"/>
    <w:rsid w:val="007810D0"/>
    <w:rsid w:val="007E7BDA"/>
    <w:rsid w:val="00801106"/>
    <w:rsid w:val="008176BA"/>
    <w:rsid w:val="008E518C"/>
    <w:rsid w:val="00936479"/>
    <w:rsid w:val="0094370C"/>
    <w:rsid w:val="009A0231"/>
    <w:rsid w:val="00A10B42"/>
    <w:rsid w:val="00A924F0"/>
    <w:rsid w:val="00B9703C"/>
    <w:rsid w:val="00BD5594"/>
    <w:rsid w:val="00C76AC7"/>
    <w:rsid w:val="00D35516"/>
    <w:rsid w:val="00F079CC"/>
    <w:rsid w:val="00F97827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segaeshin</dc:creator>
  <cp:keywords/>
  <dc:description/>
  <cp:lastModifiedBy>Windows User</cp:lastModifiedBy>
  <cp:revision>1</cp:revision>
  <dcterms:created xsi:type="dcterms:W3CDTF">2021-10-26T06:01:00Z</dcterms:created>
  <dcterms:modified xsi:type="dcterms:W3CDTF">2021-10-27T15:37:00Z</dcterms:modified>
</cp:coreProperties>
</file>