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b/>
        </w:rPr>
        <w:t xml:space="preserve">JUZGADO </w:t>
        <w:tab/>
        <w:t>: {{ tribunal }}</w:t>
      </w:r>
    </w:p>
    <w:p>
      <w:pPr/>
      <w:r>
        <w:rPr>
          <w:rFonts w:ascii="Times" w:hAnsi="Times" w:cs="Times"/>
          <w:sz w:val="24"/>
          <w:sz-cs w:val="24"/>
          <w:b/>
        </w:rPr>
        <w:t xml:space="preserve">CAUSA ROL </w:t>
        <w:tab/>
        <w:t>: {{ rol }}</w:t>
      </w:r>
    </w:p>
    <w:p>
      <w:pPr/>
      <w:r>
        <w:rPr>
          <w:rFonts w:ascii="Times" w:hAnsi="Times" w:cs="Times"/>
          <w:sz w:val="24"/>
          <w:sz-cs w:val="24"/>
          <w:b/>
        </w:rPr>
        <w:t xml:space="preserve">CARATULADO </w:t>
        <w:tab/>
        <w:t>: {{ caratulado }}</w:t>
      </w:r>
    </w:p>
    <w:p>
      <w:pPr/>
      <w:r>
        <w:rPr>
          <w:rFonts w:ascii="Times" w:hAnsi="Times" w:cs="Times"/>
          <w:sz w:val="24"/>
          <w:sz-cs w:val="24"/>
          <w:b/>
        </w:rPr>
        <w:t xml:space="preserve">CUADERNO</w:t>
        <w:tab/>
        <w:t xml:space="preserve">: APREMIO</w:t>
      </w:r>
    </w:p>
    <w:p>
      <w:pPr/>
      <w:r>
        <w:rPr>
          <w:rFonts w:ascii="Times" w:hAnsi="Times" w:cs="Times"/>
          <w:sz w:val="24"/>
          <w:sz-cs w:val="24"/>
          <w:b/>
          <w:spacing w:val="-3"/>
        </w:rPr>
        <w:t xml:space="preserve"/>
      </w:r>
    </w:p>
    <w:p>
      <w:pPr>
        <w:jc w:val="both"/>
      </w:pPr>
      <w:r>
        <w:rPr>
          <w:rFonts w:ascii="Times" w:hAnsi="Times" w:cs="Times"/>
          <w:sz w:val="24"/>
          <w:sz-cs w:val="24"/>
          <w:spacing w:val="-3"/>
        </w:rPr>
        <w:t xml:space="preserve"/>
      </w:r>
    </w:p>
    <w:p>
      <w:pPr>
        <w:jc w:val="both"/>
      </w:pPr>
      <w:r>
        <w:rPr>
          <w:rFonts w:ascii="Times" w:hAnsi="Times" w:cs="Times"/>
          <w:sz w:val="24"/>
          <w:sz-cs w:val="24"/>
          <w:b/>
          <w:spacing w:val="-3"/>
        </w:rPr>
        <w:t xml:space="preserve">OBJETA BASES DE REMATE</w:t>
      </w:r>
    </w:p>
    <w:p>
      <w:pPr>
        <w:jc w:val="both"/>
      </w:pPr>
      <w:r>
        <w:rPr>
          <w:rFonts w:ascii="Times" w:hAnsi="Times" w:cs="Times"/>
          <w:sz w:val="24"/>
          <w:sz-cs w:val="24"/>
          <w:b/>
          <w:spacing w:val="-3"/>
        </w:rPr>
        <w:t xml:space="preserve"/>
      </w:r>
    </w:p>
    <w:p>
      <w:pPr>
        <w:jc w:val="center"/>
      </w:pPr>
      <w:r>
        <w:rPr>
          <w:rFonts w:ascii="Times" w:hAnsi="Times" w:cs="Times"/>
          <w:sz w:val="24"/>
          <w:sz-cs w:val="24"/>
          <w:b/>
          <w:spacing w:val="-3"/>
        </w:rPr>
        <w:t xml:space="preserve"> {{ sjl }}</w:t>
      </w:r>
    </w:p>
    <w:p>
      <w:pPr>
        <w:jc w:val="center"/>
      </w:pPr>
      <w:r>
        <w:rPr>
          <w:rFonts w:ascii="Times" w:hAnsi="Times" w:cs="Times"/>
          <w:sz w:val="24"/>
          <w:sz-cs w:val="24"/>
          <w:b/>
          <w:spacing w:val="-3"/>
        </w:rPr>
        <w:t xml:space="preserve"/>
      </w:r>
    </w:p>
    <w:p>
      <w:pPr>
        <w:jc w:val="both"/>
      </w:pPr>
      <w:r>
        <w:rPr>
          <w:rFonts w:ascii="Times" w:hAnsi="Times" w:cs="Times"/>
          <w:sz w:val="24"/>
          <w:sz-cs w:val="24"/>
          <w:b/>
        </w:rPr>
        <w:tab/>
        <w:t xml:space="preserve">{{ abogado_nombre }}, </w:t>
      </w:r>
      <w:r>
        <w:rPr>
          <w:rFonts w:ascii="Times" w:hAnsi="Times" w:cs="Times"/>
          <w:sz w:val="24"/>
          <w:sz-cs w:val="24"/>
        </w:rPr>
        <w:t xml:space="preserve">Abogado, por el demandado, en relación al Procedimiento Ejecutivo caratulado </w:t>
      </w:r>
      <w:r>
        <w:rPr>
          <w:rFonts w:ascii="Times" w:hAnsi="Times" w:cs="Times"/>
          <w:sz w:val="24"/>
          <w:sz-cs w:val="24"/>
          <w:b/>
        </w:rPr>
        <w:t xml:space="preserve">“{{ caratulado }}” </w:t>
      </w:r>
      <w:r>
        <w:rPr>
          <w:rFonts w:ascii="Times" w:hAnsi="Times" w:cs="Times"/>
          <w:sz w:val="24"/>
          <w:sz-cs w:val="24"/>
        </w:rPr>
        <w:t xml:space="preserve">Rol </w:t>
      </w:r>
      <w:r>
        <w:rPr>
          <w:rFonts w:ascii="Times" w:hAnsi="Times" w:cs="Times"/>
          <w:sz w:val="24"/>
          <w:sz-cs w:val="24"/>
          <w:b/>
        </w:rPr>
        <w:t>{{ rol }},</w:t>
      </w:r>
      <w:r>
        <w:rPr>
          <w:rFonts w:ascii="Times" w:hAnsi="Times" w:cs="Times"/>
          <w:sz w:val="24"/>
          <w:sz-cs w:val="24"/>
        </w:rPr>
        <w:t xml:space="preserve"> cuaderno de Apremio,</w:t>
      </w:r>
      <w:r>
        <w:rPr>
          <w:rFonts w:ascii="Times" w:hAnsi="Times" w:cs="Times"/>
          <w:sz w:val="24"/>
          <w:sz-cs w:val="24"/>
          <w:spacing w:val="-3"/>
        </w:rPr>
        <w:t xml:space="preserve"> a US. respetuosamente digo:</w:t>
      </w:r>
    </w:p>
    <w:p>
      <w:pPr>
        <w:jc w:val="both"/>
      </w:pPr>
      <w:r>
        <w:rPr>
          <w:rFonts w:ascii="Times" w:hAnsi="Times" w:cs="Times"/>
          <w:sz w:val="24"/>
          <w:sz-cs w:val="24"/>
        </w:rPr>
        <w:t xml:space="preserve"> </w:t>
      </w:r>
    </w:p>
    <w:p>
      <w:pPr>
        <w:jc w:val="both"/>
      </w:pPr>
      <w:r>
        <w:rPr>
          <w:rFonts w:ascii="Times" w:hAnsi="Times" w:cs="Times"/>
          <w:sz w:val="24"/>
          <w:sz-cs w:val="24"/>
          <w:spacing w:val="-3"/>
        </w:rPr>
        <w:t xml:space="preserve"/>
        <w:tab/>
        <w:t xml:space="preserve"/>
      </w:r>
      <w:r>
        <w:rPr>
          <w:rFonts w:ascii="Times" w:hAnsi="Times" w:cs="Times"/>
          <w:sz w:val="24"/>
          <w:sz-cs w:val="24"/>
        </w:rPr>
        <w:t xml:space="preserve">Que, estando dentro del término de citación, vengo en oponerme a las bases de remate en dicha resolución, de acuerdo a los argumentos de hecho y de derecho que paso a exponer:</w:t>
      </w:r>
    </w:p>
    <w:p>
      <w:pPr>
        <w:jc w:val="both"/>
      </w:pPr>
      <w:r>
        <w:rPr>
          <w:rFonts w:ascii="Times" w:hAnsi="Times" w:cs="Times"/>
          <w:sz w:val="24"/>
          <w:sz-cs w:val="24"/>
        </w:rPr>
        <w:t xml:space="preserve"/>
      </w:r>
    </w:p>
    <w:p>
      <w:pPr>
        <w:jc w:val="both"/>
      </w:pPr>
      <w:r>
        <w:rPr>
          <w:rFonts w:ascii="Times" w:hAnsi="Times" w:cs="Times"/>
          <w:sz w:val="24"/>
          <w:sz-cs w:val="24"/>
          <w:b/>
          <w:u w:val="single"/>
        </w:rPr>
        <w:t xml:space="preserve">I.- SE OBJETA LA CLÁUSULA CUARTA:</w:t>
      </w:r>
      <w:r>
        <w:rPr>
          <w:rFonts w:ascii="Times" w:hAnsi="Times" w:cs="Times"/>
          <w:sz w:val="24"/>
          <w:sz-cs w:val="24"/>
        </w:rPr>
        <w:t xml:space="preserve"/>
      </w:r>
    </w:p>
    <w:p>
      <w:pPr>
        <w:jc w:val="both"/>
      </w:pPr>
      <w:r>
        <w:rPr>
          <w:rFonts w:ascii="Times" w:hAnsi="Times" w:cs="Times"/>
          <w:sz w:val="24"/>
          <w:sz-cs w:val="24"/>
          <w:b/>
          <w:u w:val="single"/>
        </w:rPr>
        <w:t xml:space="preserve"/>
      </w:r>
    </w:p>
    <w:p>
      <w:pPr>
        <w:jc w:val="both"/>
      </w:pPr>
      <w:r>
        <w:rPr>
          <w:rFonts w:ascii="Times" w:hAnsi="Times" w:cs="Times"/>
          <w:sz w:val="24"/>
          <w:sz-cs w:val="24"/>
        </w:rPr>
        <w:t xml:space="preserve">Dicha cláusula se encuentra redactada en el siguiente tenor: (…) “</w:t>
      </w:r>
      <w:r>
        <w:rPr>
          <w:rFonts w:ascii="Times" w:hAnsi="Times" w:cs="Times"/>
          <w:sz w:val="24"/>
          <w:sz-cs w:val="24"/>
          <w:i/>
        </w:rPr>
        <w:t xml:space="preserve">Todo postor, a excepción del ejecutante, deber consignar garantÍa suficiente por el 10% del mínimo para iniciar postura y para í poder participar de la subasta, nicamente mediante vale vista a ú nombre del Décimo Quinto Juzgado Civil de Santiago, RUT N60.306.062-8.. (…).”</w:t>
      </w:r>
      <w:r>
        <w:rPr>
          <w:rFonts w:ascii="Times" w:hAnsi="Times" w:cs="Times"/>
          <w:sz w:val="24"/>
          <w:sz-cs w:val="24"/>
          <w:b/>
          <w:u w:val="single"/>
        </w:rPr>
        <w:t xml:space="preserve"/>
      </w:r>
    </w:p>
    <w:p>
      <w:pPr>
        <w:jc w:val="both"/>
        <w:ind w:left="720"/>
      </w:pPr>
      <w:r>
        <w:rPr>
          <w:rFonts w:ascii="Times" w:hAnsi="Times" w:cs="Times"/>
          <w:sz w:val="24"/>
          <w:sz-cs w:val="24"/>
        </w:rPr>
        <w:t xml:space="preserve"/>
      </w:r>
    </w:p>
    <w:p>
      <w:pPr>
        <w:jc w:val="both"/>
      </w:pPr>
      <w:r>
        <w:rPr>
          <w:rFonts w:ascii="Times" w:hAnsi="Times" w:cs="Times"/>
          <w:sz w:val="24"/>
          <w:sz-cs w:val="24"/>
        </w:rPr>
        <w:t xml:space="preserve">Este litigante en la redacción de la presente cláusula, especialmente en la parte señalada, viene a advertir que no se ajusta a derecho en excluir a </w:t>
      </w:r>
      <w:r>
        <w:rPr>
          <w:rFonts w:ascii="Times" w:hAnsi="Times" w:cs="Times"/>
          <w:sz w:val="24"/>
          <w:sz-cs w:val="24"/>
          <w:b/>
          <w:i/>
        </w:rPr>
        <w:t xml:space="preserve">{{ ejecutante_nombre }} </w:t>
      </w:r>
      <w:r>
        <w:rPr>
          <w:rFonts w:ascii="Times" w:hAnsi="Times" w:cs="Times"/>
          <w:sz w:val="24"/>
          <w:sz-cs w:val="24"/>
        </w:rPr>
        <w:t xml:space="preserve">de la obligación de caucionar para tomar parte en el remate, pues el artículo 494 del Código de Procedimiento Civil señala “</w:t>
      </w:r>
      <w:r>
        <w:rPr>
          <w:rFonts w:ascii="Times" w:hAnsi="Times" w:cs="Times"/>
          <w:sz w:val="24"/>
          <w:sz-cs w:val="24"/>
          <w:b/>
          <w:i/>
        </w:rPr>
        <w:t xml:space="preserve">TODO POSTOR</w:t>
      </w:r>
      <w:r>
        <w:rPr>
          <w:rFonts w:ascii="Times" w:hAnsi="Times" w:cs="Times"/>
          <w:sz w:val="24"/>
          <w:sz-cs w:val="24"/>
        </w:rPr>
        <w:t xml:space="preserve">”, lo cual el legislador procesal en este aspecto no realiza ninguna diferencia ni distinción de la cual el acreedor de esta causa pueda tomar provecho, respecto de los demás postores, pues estaría obteniendo en esta parte del procedimiento una postura más ventajosa que los demás interesados en subastarse el bien, lo cual SS. e independiente que la acreencia sea a favor del ejecutante, esto no da lugar por un tema de justicia, a tomar prerrogativas respecto de esta obligación, donde nuestro legislador es expreso.</w:t>
      </w:r>
    </w:p>
    <w:p>
      <w:pPr>
        <w:ind w:left="708"/>
      </w:pPr>
      <w:r>
        <w:rPr>
          <w:rFonts w:ascii="Times" w:hAnsi="Times" w:cs="Times"/>
          <w:sz w:val="24"/>
          <w:sz-cs w:val="24"/>
        </w:rPr>
        <w:t xml:space="preserve"/>
      </w:r>
    </w:p>
    <w:p>
      <w:pPr>
        <w:jc w:val="both"/>
      </w:pPr>
      <w:r>
        <w:rPr>
          <w:rFonts w:ascii="Times" w:hAnsi="Times" w:cs="Times"/>
          <w:sz w:val="24"/>
          <w:sz-cs w:val="24"/>
        </w:rPr>
        <w:t xml:space="preserve">Es más, el acreedor al momento de tomar parte en las posturas y al cumplir con esta obligación que dispone el artículo 494 del Código de Procedimiento Civil, debe haber previsto esta situación de cómo hará valer la caución frente al crédito adeudado si es que se da el caso hipotético que el subastador sea el mismo ejecutante, sin embargo, el ejecutante no se preocupa de este aspecto.</w:t>
      </w:r>
    </w:p>
    <w:p>
      <w:pPr>
        <w:ind w:left="708"/>
      </w:pPr>
      <w:r>
        <w:rPr>
          <w:rFonts w:ascii="Times" w:hAnsi="Times" w:cs="Times"/>
          <w:sz w:val="24"/>
          <w:sz-cs w:val="24"/>
        </w:rPr>
        <w:t xml:space="preserve"/>
      </w:r>
    </w:p>
    <w:p>
      <w:pPr>
        <w:jc w:val="both"/>
      </w:pPr>
      <w:r>
        <w:rPr>
          <w:rFonts w:ascii="Times" w:hAnsi="Times" w:cs="Times"/>
          <w:sz w:val="24"/>
          <w:sz-cs w:val="24"/>
        </w:rPr>
        <w:t xml:space="preserve">Con todo, y atendido los argumentos expuestos anteriormente, es que solicito que se elimine esta cláusula</w:t>
      </w:r>
      <w:r>
        <w:rPr>
          <w:rFonts w:ascii="Times" w:hAnsi="Times" w:cs="Times"/>
          <w:sz w:val="24"/>
          <w:sz-cs w:val="24"/>
          <w:b/>
          <w:i/>
        </w:rPr>
        <w:t xml:space="preserve">, </w:t>
      </w:r>
      <w:r>
        <w:rPr>
          <w:rFonts w:ascii="Times" w:hAnsi="Times" w:cs="Times"/>
          <w:sz w:val="24"/>
          <w:sz-cs w:val="24"/>
        </w:rPr>
        <w:t xml:space="preserve">por resultar impropia y estar redactada en beneficio del acreedor.</w:t>
      </w:r>
    </w:p>
    <w:p>
      <w:pPr>
        <w:jc w:val="both"/>
      </w:pPr>
      <w:r>
        <w:rPr>
          <w:rFonts w:ascii="Times" w:hAnsi="Times" w:cs="Times"/>
          <w:sz w:val="24"/>
          <w:sz-cs w:val="24"/>
          <w:b/>
          <w:u w:val="single"/>
        </w:rPr>
        <w:t xml:space="preserve"/>
      </w:r>
    </w:p>
    <w:p>
      <w:pPr>
        <w:jc w:val="both"/>
      </w:pPr>
      <w:r>
        <w:rPr>
          <w:rFonts w:ascii="Times" w:hAnsi="Times" w:cs="Times"/>
          <w:sz w:val="24"/>
          <w:sz-cs w:val="24"/>
          <w:b/>
          <w:u w:val="single"/>
        </w:rPr>
        <w:t xml:space="preserve"/>
      </w:r>
    </w:p>
    <w:p>
      <w:pPr>
        <w:jc w:val="both"/>
      </w:pPr>
      <w:r>
        <w:rPr>
          <w:rFonts w:ascii="Times" w:hAnsi="Times" w:cs="Times"/>
          <w:sz w:val="24"/>
          <w:sz-cs w:val="24"/>
          <w:b/>
          <w:u w:val="single"/>
        </w:rPr>
        <w:t xml:space="preserve">II.- SE OBJETA LA CLÁUSULA DÉCIMA PRIMERA:</w:t>
      </w:r>
    </w:p>
    <w:p>
      <w:pPr>
        <w:jc w:val="both"/>
      </w:pPr>
      <w:r>
        <w:rPr>
          <w:rFonts w:ascii="Times" w:hAnsi="Times" w:cs="Times"/>
          <w:sz w:val="24"/>
          <w:sz-cs w:val="24"/>
          <w:b/>
          <w:u w:val="single"/>
        </w:rPr>
        <w:t xml:space="preserve"/>
      </w:r>
    </w:p>
    <w:p>
      <w:pPr>
        <w:jc w:val="both"/>
      </w:pPr>
      <w:r>
        <w:rPr>
          <w:rFonts w:ascii="Times" w:hAnsi="Times" w:cs="Times"/>
          <w:sz w:val="24"/>
          <w:sz-cs w:val="24"/>
        </w:rPr>
        <w:t xml:space="preserve">La cláusula </w:t>
      </w:r>
      <w:r>
        <w:rPr>
          <w:rFonts w:ascii="Times" w:hAnsi="Times" w:cs="Times"/>
          <w:sz w:val="24"/>
          <w:sz-cs w:val="24"/>
          <w:b/>
          <w:u w:val="single"/>
        </w:rPr>
        <w:t xml:space="preserve">DÉCIMA PRIMERA</w:t>
      </w:r>
      <w:r>
        <w:rPr>
          <w:rFonts w:ascii="Times" w:hAnsi="Times" w:cs="Times"/>
          <w:sz w:val="24"/>
          <w:sz-cs w:val="24"/>
          <w:b/>
        </w:rPr>
        <w:t xml:space="preserve"> </w:t>
      </w:r>
      <w:r>
        <w:rPr>
          <w:rFonts w:ascii="Times" w:hAnsi="Times" w:cs="Times"/>
          <w:sz w:val="24"/>
          <w:sz-cs w:val="24"/>
        </w:rPr>
        <w:t xml:space="preserve">dispone lo siguiente: “</w:t>
      </w:r>
      <w:r>
        <w:rPr>
          <w:rFonts w:ascii="Times" w:hAnsi="Times" w:cs="Times"/>
          <w:sz w:val="24"/>
          <w:sz-cs w:val="24"/>
          <w:i/>
        </w:rPr>
        <w:t xml:space="preserve">El adjudicatario deber suscribir la escritura pública de adjudicación en el plazo de 45 días hábiles contados desde la fecha en á que quede ejecutoriada la resolución que lo ordena, sin que sea necesaria su certificación, la que igualmente se exigir para su inclusión en la escritura pública definitiva. (…)</w:t>
      </w:r>
      <w:r>
        <w:rPr>
          <w:rFonts w:ascii="Times" w:hAnsi="Times" w:cs="Times"/>
          <w:sz w:val="24"/>
          <w:sz-cs w:val="24"/>
        </w:rPr>
        <w:t xml:space="preserve">”</w:t>
      </w:r>
      <w:r>
        <w:rPr>
          <w:rFonts w:ascii="Times" w:hAnsi="Times" w:cs="Times"/>
          <w:sz w:val="24"/>
          <w:sz-cs w:val="24"/>
          <w:b/>
          <w:u w:val="single"/>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En este sentido, lo que hace el ejecutante es disponer de la ley procesal, circunstancia que se encuentra prohibida en nuestra legislación, pues no puede ampliar ni interpretar en beneficio del ejecutante y el subastador este tipo de normas por ser derechamente de carácter público.</w:t>
      </w:r>
    </w:p>
    <w:p>
      <w:pPr>
        <w:jc w:val="both"/>
      </w:pPr>
      <w:r>
        <w:rPr>
          <w:rFonts w:ascii="Times" w:hAnsi="Times" w:cs="Times"/>
          <w:sz w:val="24"/>
          <w:sz-cs w:val="24"/>
        </w:rPr>
        <w:t xml:space="preserve"/>
      </w:r>
    </w:p>
    <w:p>
      <w:pPr>
        <w:jc w:val="both"/>
      </w:pPr>
      <w:r>
        <w:rPr>
          <w:rFonts w:ascii="Times" w:hAnsi="Times" w:cs="Times"/>
          <w:sz w:val="24"/>
          <w:sz-cs w:val="24"/>
        </w:rPr>
        <w:t xml:space="preserve">El artículo 495 inciso tercero del Código de Procedimiento Civil sostiene lo siguiente: </w:t>
      </w:r>
      <w:r>
        <w:rPr>
          <w:rFonts w:ascii="Times" w:hAnsi="Times" w:cs="Times"/>
          <w:sz w:val="24"/>
          <w:sz-cs w:val="24"/>
          <w:i/>
        </w:rPr>
        <w:t xml:space="preserve">“Esta acta valdrá como escritura pública, para el efecto del citado artículo del Código Civil; pero se extenderá sin perjuicio de otorgarse dentro de </w:t>
      </w:r>
      <w:r>
        <w:rPr>
          <w:rFonts w:ascii="Times" w:hAnsi="Times" w:cs="Times"/>
          <w:sz w:val="24"/>
          <w:sz-cs w:val="24"/>
        </w:rPr>
        <w:t xml:space="preserve">tercero día</w:t>
      </w:r>
      <w:r>
        <w:rPr>
          <w:rFonts w:ascii="Times" w:hAnsi="Times" w:cs="Times"/>
          <w:sz w:val="24"/>
          <w:sz-cs w:val="24"/>
          <w:i/>
        </w:rPr>
        <w:t xml:space="preserve"> la escritura definitiva con inserción de los antecedentes necesarios y con los demás requisitos legales</w:t>
      </w:r>
      <w:r>
        <w:rPr>
          <w:rFonts w:ascii="Times" w:hAnsi="Times" w:cs="Times"/>
          <w:sz w:val="24"/>
          <w:sz-cs w:val="24"/>
        </w:rPr>
        <w:t xml:space="preserve">”.</w:t>
      </w:r>
    </w:p>
    <w:p>
      <w:pPr>
        <w:jc w:val="both"/>
      </w:pPr>
      <w:r>
        <w:rPr>
          <w:rFonts w:ascii="Times" w:hAnsi="Times" w:cs="Times"/>
          <w:sz w:val="24"/>
          <w:sz-cs w:val="24"/>
        </w:rPr>
        <w:t xml:space="preserve"/>
      </w:r>
    </w:p>
    <w:p>
      <w:pPr>
        <w:jc w:val="both"/>
      </w:pPr>
      <w:r>
        <w:rPr>
          <w:rFonts w:ascii="Times" w:hAnsi="Times" w:cs="Times"/>
          <w:sz w:val="24"/>
          <w:sz-cs w:val="24"/>
        </w:rPr>
        <w:t xml:space="preserve">En este orden de cosas, la ley procesal es clara en mencionar que la escritura debe ser extendida y autorizada dentro de </w:t>
      </w:r>
      <w:r>
        <w:rPr>
          <w:rFonts w:ascii="Times" w:hAnsi="Times" w:cs="Times"/>
          <w:sz w:val="24"/>
          <w:sz-cs w:val="24"/>
          <w:b/>
        </w:rPr>
        <w:t xml:space="preserve">TERCERO DÍA</w:t>
      </w:r>
      <w:r>
        <w:rPr>
          <w:rFonts w:ascii="Times" w:hAnsi="Times" w:cs="Times"/>
          <w:sz w:val="24"/>
          <w:sz-cs w:val="24"/>
        </w:rPr>
        <w:t xml:space="preserve">, y no en los plazos que propone el ejecutante.</w:t>
      </w:r>
    </w:p>
    <w:p>
      <w:pPr>
        <w:jc w:val="both"/>
      </w:pPr>
      <w:r>
        <w:rPr>
          <w:rFonts w:ascii="Times" w:hAnsi="Times" w:cs="Times"/>
          <w:sz w:val="24"/>
          <w:sz-cs w:val="24"/>
        </w:rPr>
        <w:t xml:space="preserve"/>
      </w:r>
    </w:p>
    <w:p>
      <w:pPr>
        <w:jc w:val="both"/>
      </w:pPr>
      <w:r>
        <w:rPr>
          <w:rFonts w:ascii="Times" w:hAnsi="Times" w:cs="Times"/>
          <w:sz w:val="24"/>
          <w:sz-cs w:val="24"/>
        </w:rPr>
        <w:t xml:space="preserve">Con todo, dicha parte de las bases nos parecen que son contrarias a ley, especialmente incluso, las que no les imponen un plazo al ejecutante en caso de ser el adjudicatario, debiendo quedar aplicables sin distinción si es el ejecutante o no el subastador, en el siguiente tenor: “</w:t>
      </w:r>
      <w:r>
        <w:rPr>
          <w:rFonts w:ascii="Times" w:hAnsi="Times" w:cs="Times"/>
          <w:sz w:val="24"/>
          <w:sz-cs w:val="24"/>
          <w:b/>
          <w:i/>
        </w:rPr>
        <w:t xml:space="preserve">El subastador, deberá suscribir la escritura pública de adjudicación en el plazo señalado en el inciso tercero del artículo 495 del Código de Procedimiento Civil, en una notaría de la jurisdicción, bajo apercibimiento de dejar sin efecto la subasta”.</w:t>
      </w:r>
      <w:r>
        <w:rPr>
          <w:rFonts w:ascii="Times" w:hAnsi="Times" w:cs="Times"/>
          <w:sz w:val="24"/>
          <w:sz-cs w:val="24"/>
          <w:b/>
          <w:u w:val="single"/>
        </w:rPr>
        <w:t xml:space="preserve"/>
      </w:r>
    </w:p>
    <w:p>
      <w:pPr>
        <w:jc w:val="both"/>
      </w:pPr>
      <w:r>
        <w:rPr>
          <w:rFonts w:ascii="Times" w:hAnsi="Times" w:cs="Times"/>
          <w:sz w:val="24"/>
          <w:sz-cs w:val="24"/>
          <w:b/>
          <w:u w:val="single"/>
        </w:rPr>
        <w:t xml:space="preserve"/>
      </w:r>
    </w:p>
    <w:p>
      <w:pPr>
        <w:jc w:val="both"/>
      </w:pPr>
      <w:r>
        <w:rPr>
          <w:rFonts w:ascii="Times" w:hAnsi="Times" w:cs="Times"/>
          <w:sz w:val="24"/>
          <w:sz-cs w:val="24"/>
          <w:b/>
          <w:u w:val="single"/>
        </w:rPr>
        <w:t xml:space="preserve"/>
      </w:r>
    </w:p>
    <w:p>
      <w:pPr>
        <w:jc w:val="both"/>
      </w:pPr>
      <w:r>
        <w:rPr>
          <w:rFonts w:ascii="Times" w:hAnsi="Times" w:cs="Times"/>
          <w:sz w:val="24"/>
          <w:sz-cs w:val="24"/>
          <w:b/>
          <w:u w:val="single"/>
        </w:rPr>
        <w:t xml:space="preserve"/>
      </w:r>
    </w:p>
    <w:p>
      <w:pPr>
        <w:jc w:val="both"/>
      </w:pPr>
      <w:r>
        <w:rPr>
          <w:rFonts w:ascii="Times" w:hAnsi="Times" w:cs="Times"/>
          <w:sz w:val="24"/>
          <w:sz-cs w:val="24"/>
          <w:b/>
          <w:u w:val="single"/>
        </w:rPr>
        <w:t xml:space="preserve">III. SE PIDE AGREGAR LA SIGUIENTE CLÁUSULA:</w:t>
      </w:r>
    </w:p>
    <w:p>
      <w:pPr>
        <w:jc w:val="both"/>
      </w:pPr>
      <w:r>
        <w:rPr>
          <w:rFonts w:ascii="Times" w:hAnsi="Times" w:cs="Times"/>
          <w:sz w:val="24"/>
          <w:sz-cs w:val="24"/>
          <w:b/>
          <w:u w:val="single"/>
        </w:rPr>
        <w:t xml:space="preserve"/>
      </w:r>
    </w:p>
    <w:p>
      <w:pPr>
        <w:jc w:val="both"/>
      </w:pPr>
      <w:r>
        <w:rPr>
          <w:rFonts w:ascii="Times" w:hAnsi="Times" w:cs="Times"/>
          <w:sz w:val="24"/>
          <w:sz-cs w:val="24"/>
        </w:rPr>
        <w:t xml:space="preserve">Se pide agregar a las bases a agregar la siguiente: “</w:t>
      </w:r>
      <w:r>
        <w:rPr>
          <w:rFonts w:ascii="Times" w:hAnsi="Times" w:cs="Times"/>
          <w:sz w:val="24"/>
          <w:sz-cs w:val="24"/>
          <w:i/>
        </w:rPr>
        <w:t xml:space="preserve">De conformidad a lo dispuesto en el artículo 29, contenido en el numeral 18 de la Ley 21.389, que crea el Registro Nacional de Deudores de Pensiones de Alimentos, se deja expresa constancia que en la realización de la subasta el tribunal no admitirá a participar como postores a las personas que figuren con inscripción vigente en el citado registro, en calidad de deudor de alimentos. Para estos efectos, el tribunal deber consultar dicho registro en forma previa a calificar la garantía de seriedad de la oferta. De igual forma y conforme al mismo precepto, el notario público autorizante de la escritura pública de compraventa respectiva, no la extender si el adjudicatario figura con una inscripción vigente en el mencionado registro. De verificarse esta última circunstancia, el tribunal dejar sin efecto el acta de remate y el proceso de subasta pública, haciendo efectiva además la garantía de seriedad de la oferta, en los términos del artículo 494 del Código de Procedimiento Civil. Asimismo, el tribunal dispondrá la devolución del dinero del precio de venta consignado por el adjudicatario, con deducción del monto que éste adeude por pensión alimenticia, el que será retenido y pagado a su alimentario. Con el mérito de las presentes bases, no valdrá posterior alegación del adjudicatario respecto al desconocimiento de la existencia del registro de deuda mencionado”.</w:t>
      </w:r>
      <w:r>
        <w:rPr>
          <w:rFonts w:ascii="Times" w:hAnsi="Times" w:cs="Times"/>
          <w:sz w:val="24"/>
          <w:sz-cs w:val="24"/>
          <w:b/>
          <w:i/>
          <w:u w:val="single"/>
        </w:rPr>
        <w:t xml:space="preserve"/>
      </w:r>
    </w:p>
    <w:p>
      <w:pPr>
        <w:jc w:val="both"/>
        <w:ind w:left="720"/>
      </w:pPr>
      <w:r>
        <w:rPr>
          <w:rFonts w:ascii="Times" w:hAnsi="Times" w:cs="Times"/>
          <w:sz w:val="24"/>
          <w:sz-cs w:val="24"/>
        </w:rPr>
        <w:t xml:space="preserve"/>
      </w:r>
    </w:p>
    <w:p>
      <w:pPr>
        <w:jc w:val="both"/>
      </w:pPr>
      <w:r>
        <w:rPr>
          <w:rFonts w:ascii="Times" w:hAnsi="Times" w:cs="Times"/>
          <w:sz w:val="24"/>
          <w:sz-cs w:val="24"/>
        </w:rPr>
        <w:t xml:space="preserve">Esto más que nada, y por un tema de Justicia, es dar cumplimiento a la norma ya señalada, toda vez que sería injusto, excesivo y abusivo el hecho que participen como postores aquellas personas que se encuentren endeudadas por pensión de alimentos.</w:t>
      </w:r>
      <w:r>
        <w:rPr>
          <w:rFonts w:ascii="Times" w:hAnsi="Times" w:cs="Times"/>
          <w:sz w:val="24"/>
          <w:sz-cs w:val="24"/>
          <w:b/>
          <w:u w:val="single"/>
        </w:rPr>
        <w:t xml:space="preserve"/>
      </w:r>
    </w:p>
    <w:p>
      <w:pPr>
        <w:ind w:left="708"/>
      </w:pPr>
      <w:r>
        <w:rPr>
          <w:rFonts w:ascii="Times" w:hAnsi="Times" w:cs="Times"/>
          <w:sz w:val="24"/>
          <w:sz-cs w:val="24"/>
          <w:b/>
          <w:u w:val="single"/>
        </w:rPr>
        <w:t xml:space="preserve"/>
      </w:r>
    </w:p>
    <w:p>
      <w:pPr>
        <w:jc w:val="both"/>
      </w:pPr>
      <w:r>
        <w:rPr>
          <w:rFonts w:ascii="Times" w:hAnsi="Times" w:cs="Times"/>
          <w:sz w:val="24"/>
          <w:sz-cs w:val="24"/>
          <w:b/>
          <w:u w:val="single"/>
        </w:rPr>
        <w:t xml:space="preserve"/>
      </w:r>
    </w:p>
    <w:p>
      <w:pPr>
        <w:jc w:val="both"/>
        <w:ind w:first-line="360"/>
        <w:spacing w:after="200"/>
      </w:pPr>
      <w:r>
        <w:rPr>
          <w:rFonts w:ascii="Times" w:hAnsi="Times" w:cs="Times"/>
          <w:sz w:val="24"/>
          <w:sz-cs w:val="24"/>
          <w:b/>
        </w:rPr>
        <w:t xml:space="preserve">POR TANTO</w:t>
      </w:r>
      <w:r>
        <w:rPr>
          <w:rFonts w:ascii="Times" w:hAnsi="Times" w:cs="Times"/>
          <w:sz w:val="24"/>
          <w:sz-cs w:val="24"/>
        </w:rPr>
        <w:t xml:space="preserve">, y en mérito de lo expuesto,</w:t>
      </w:r>
    </w:p>
    <w:p>
      <w:pPr>
        <w:jc w:val="both"/>
        <w:spacing w:after="200"/>
      </w:pPr>
      <w:r>
        <w:rPr>
          <w:rFonts w:ascii="Times" w:hAnsi="Times" w:cs="Times"/>
          <w:sz w:val="24"/>
          <w:sz-cs w:val="24"/>
          <w:b/>
        </w:rPr>
        <w:t xml:space="preserve">SOLICITO A S.S</w:t>
      </w:r>
      <w:r>
        <w:rPr>
          <w:rFonts w:ascii="Times" w:hAnsi="Times" w:cs="Times"/>
          <w:sz w:val="24"/>
          <w:sz-cs w:val="24"/>
        </w:rPr>
        <w:t xml:space="preserve">., Tener por objetadas las bases para el remate.</w:t>
      </w:r>
      <w:r>
        <w:rPr>
          <w:rFonts w:ascii="Times" w:hAnsi="Times" w:cs="Times"/>
          <w:sz w:val="24"/>
          <w:sz-cs w:val="24"/>
          <w:b/>
          <w:spacing w:val="-3"/>
        </w:rPr>
        <w:t xml:space="preserve"/>
      </w:r>
    </w:p>
    <w:p>
      <w:pPr>
        <w:jc w:val="both"/>
      </w:pPr>
      <w:r>
        <w:rPr>
          <w:rFonts w:ascii="Times" w:hAnsi="Times" w:cs="Times"/>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BMG</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PAGE  </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PAGE  1</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both"/>
      </w:pPr>
      <w:r>
        <w:rPr>
          <w:rFonts w:ascii="Times" w:hAnsi="Times" w:cs="Times"/>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RECAUDADORA S.A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CONTESTA TRASLADO</dc:title>
  <dc:subject/>
  <dc:creator>CJ Abogados</dc:creator>
  <cp:keywords/>
  <cp:lastModifiedBy>Abogado DDD</cp:lastModifiedBy>
  <dcterms:created>2025-12-29T18:43:00Z</dcterms:created>
  <dcterms:modified>2025-12-29T18:43:00Z</dcterms:modified>
</cp:coreProperties>
</file>

<file path=docProps/meta.xml><?xml version="1.0" encoding="utf-8"?>
<meta xmlns="http://schemas.apple.com/cocoa/2006/metadata">
  <generator>CocoaOOXMLWriter/2685.6</generator>
</meta>
</file>