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 Applicant: Odeyemi Olusegun Israel</w:t>
      </w:r>
      <w:r>
        <w:t xml:space="preserve"> </w:t>
      </w:r>
      <w:r>
        <w:t xml:space="preserve">Criteria: Mandatory Criteria (Innovation and Technical Leadership)</w:t>
      </w:r>
    </w:p>
    <w:p>
      <w:pPr>
        <w:pStyle w:val="SourceCode"/>
      </w:pPr>
      <w:r>
        <w:rPr>
          <w:rStyle w:val="VerbatimChar"/>
        </w:rPr>
        <w:t xml:space="preserve">  MC-1: Design and Development of AMTTP — A Four-Layer Real-Time</w:t>
      </w:r>
      <w:r>
        <w:br/>
      </w:r>
      <w:r>
        <w:rPr>
          <w:rStyle w:val="VerbatimChar"/>
        </w:rPr>
        <w:t xml:space="preserve">                    Blockchain Compliance System</w:t>
      </w:r>
    </w:p>
    <w:p>
      <w:pPr>
        <w:pStyle w:val="FirstParagraph"/>
      </w:pPr>
      <w:r>
        <w:t xml:space="preserve">Executive Summary: I designed and built a four-layer real-time compliance system for blockchain</w:t>
      </w:r>
      <w:r>
        <w:t xml:space="preserve"> </w:t>
      </w:r>
      <w:r>
        <w:t xml:space="preserve">transactions. Conventional AML tools act after funds have moved; AMTTP acts before, scoring risk,</w:t>
      </w:r>
      <w:r>
        <w:t xml:space="preserve"> </w:t>
      </w:r>
      <w:r>
        <w:t xml:space="preserve">checking sanctions, and enforcing a contract-level decision within one second. In its first public month,</w:t>
      </w:r>
      <w:r>
        <w:t xml:space="preserve"> </w:t>
      </w:r>
      <w:r>
        <w:t xml:space="preserve">the live platform processed 920,848 transactions and attracted 1,220 unique visitors at amttp.com.</w:t>
      </w:r>
      <w:r>
        <w:t xml:space="preserve"> </w:t>
      </w:r>
      <w:r>
        <w:t xml:space="preserve">Every layer — consumer app, enterprise dashboard, nine-service AI backend, and blockchain contracts</w:t>
      </w:r>
      <w:r>
        <w:t xml:space="preserve"> </w:t>
      </w:r>
      <w:r>
        <w:t xml:space="preserve">— was built by me.</w:t>
      </w:r>
      <w:r>
        <w:t xml:space="preserve"> </w:t>
      </w:r>
      <w:r>
        <w:t xml:space="preserve">Live Public Deployment Evidence</w:t>
      </w:r>
    </w:p>
    <w:p>
      <w:pPr>
        <w:pStyle w:val="SourceCode"/>
      </w:pPr>
      <w:r>
        <w:rPr>
          <w:rStyle w:val="VerbatimChar"/>
        </w:rPr>
        <w:t xml:space="preserve">                        4-MINUTE VIDEO DEMONSTRATION</w:t>
      </w:r>
      <w:r>
        <w:br/>
      </w:r>
      <w:r>
        <w:rPr>
          <w:rStyle w:val="VerbatimChar"/>
        </w:rPr>
        <w:t xml:space="preserve">                                  https://youtu.be/I0dXSN ScR0</w:t>
      </w:r>
      <w:r>
        <w:br/>
      </w:r>
      <w:r>
        <w:rPr>
          <w:rStyle w:val="VerbatimChar"/>
        </w:rPr>
        <w:t xml:space="preserve">     Public demo: amttp.com — Sepolia-backed environment — 1,220 unique visitors</w:t>
      </w:r>
      <w:r>
        <w:br/>
      </w:r>
      <w:r>
        <w:rPr>
          <w:rStyle w:val="VerbatimChar"/>
        </w:rPr>
        <w:t xml:space="preserve">                       — 38,320 requests — 5 Apr – 5 May 2026</w:t>
      </w:r>
    </w:p>
    <w:p>
      <w:pPr>
        <w:pStyle w:val="FirstParagraph"/>
      </w:pPr>
      <w:r>
        <w:t xml:space="preserve">Figure 1: Cloudflare analytics for amttp.com — 1,220 unique visitors, 38,320 total requests, 53.54% cache-hit</w:t>
      </w:r>
      <w:r>
        <w:t xml:space="preserve"> </w:t>
      </w:r>
      <w:r>
        <w:t xml:space="preserve">ratio (5 Apr – 5 May 2026). Independently verifiable on the live Sepolia-backed environment.</w:t>
      </w:r>
      <w:r>
        <w:t xml:space="preserve"> </w:t>
      </w:r>
      <w:r>
        <w:t xml:space="preserve">Technical Contributions</w:t>
      </w:r>
    </w:p>
    <w:p>
      <w:pPr>
        <w:pStyle w:val="BodyText"/>
      </w:pPr>
      <w:r>
        <w:t xml:space="preserve"> Pre-settlement enforcement at scale: 920,848  Privacy-preserving identity: identity and sanc-</w:t>
      </w:r>
      <w:r>
        <w:t xml:space="preserve"> </w:t>
      </w:r>
      <w:r>
        <w:t xml:space="preserve">transactions processed on a live public testnet; deci- tions verified on-chain without exposing any personal</w:t>
      </w:r>
      <w:r>
        <w:t xml:space="preserve"> </w:t>
      </w:r>
      <w:r>
        <w:t xml:space="preserve">sions issued before funds move, not after. data — GDPR-compliant on a public ledger.</w:t>
      </w:r>
      <w:r>
        <w:t xml:space="preserve"> </w:t>
      </w:r>
      <w:r>
        <w:t xml:space="preserve"> Dual-model AI scoring: a gradient-boosted clas-  Regulatory audit trail: every decision perma-</w:t>
      </w:r>
      <w:r>
        <w:t xml:space="preserve"> </w:t>
      </w:r>
      <w:r>
        <w:t xml:space="preserve">sifier and a Graph Neural Network (wallet relation- nently recorded on-chain, meeting UK (FCA) and</w:t>
      </w:r>
      <w:r>
        <w:t xml:space="preserve"> </w:t>
      </w:r>
      <w:r>
        <w:t xml:space="preserve">ship analysis); fraud-detection accuracy (ROC-AUC) EU (MiCA) financial regulation requirements.</w:t>
      </w:r>
      <w:r>
        <w:t xml:space="preserve"> </w:t>
      </w:r>
      <w:r>
        <w:t xml:space="preserve">0.9999998.  Zero-downtime upgrades: an upgradeable con-</w:t>
      </w:r>
      <w:r>
        <w:t xml:space="preserve"> </w:t>
      </w:r>
      <w:r>
        <w:t xml:space="preserve"> 90%+ cost reduction: a compact model trained tract design lets compliance rules change without</w:t>
      </w:r>
      <w:r>
        <w:t xml:space="preserve"> </w:t>
      </w:r>
      <w:r>
        <w:t xml:space="preserve">from a larger one runs on standard office-grade taking the live platform offline.</w:t>
      </w:r>
      <w:r>
        <w:t xml:space="preserve"> </w:t>
      </w:r>
      <w:r>
        <w:t xml:space="preserve">CPUs, eliminating specialist GPU hardware.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1</w:t>
      </w:r>
    </w:p>
    <w:p>
      <w:pPr>
        <w:pStyle w:val="FirstParagraph"/>
      </w:pPr>
      <w:r>
        <w:t xml:space="preserve">Figure 2: AMTTP four-layer architecture — Flutter + Next.js (UI) → Express Gateway → Python FastAPI</w:t>
      </w:r>
      <w:r>
        <w:t xml:space="preserve"> </w:t>
      </w:r>
      <w:r>
        <w:t xml:space="preserve">orchestrator (9 microservices) → 5 upgradeable Solidity contracts, 17 Docker containers. All layers sole-authored.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2</w:t>
      </w:r>
    </w:p>
    <w:p>
      <w:pPr>
        <w:pStyle w:val="FirstParagraph"/>
      </w:pPr>
      <w:r>
        <w:t xml:space="preserve">Live Dashboard Evidence</w:t>
      </w:r>
    </w:p>
    <w:p>
      <w:pPr>
        <w:pStyle w:val="BodyText"/>
      </w:pPr>
      <w:r>
        <w:t xml:space="preserve">Figure 3: War Room dashboard on the live public testnet — 920,848 transactions processed, 54.3% compliance</w:t>
      </w:r>
      <w:r>
        <w:t xml:space="preserve"> </w:t>
      </w:r>
      <w:r>
        <w:t xml:space="preserve">rate, average risk score 62.4. Real wallet addresses independently verifiable on Etherscan.</w:t>
      </w:r>
    </w:p>
    <w:p>
      <w:pPr>
        <w:pStyle w:val="BodyText"/>
      </w:pPr>
      <w:r>
        <w:t xml:space="preserve">Figure 4: Automated report generation — Daily AML Compliance PDF (2.4 MB), Weekly Risk Assessment</w:t>
      </w:r>
      <w:r>
        <w:t xml:space="preserve"> </w:t>
      </w:r>
      <w:r>
        <w:t xml:space="preserve">(5.1 MB), Monthly FCA SAR (8.7 MB) — all generated programmatically without manual intervention.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2026-05-12T15:18:00Z</dcterms:created>
  <dcterms:modified xsi:type="dcterms:W3CDTF">2026-05-12T15:18:00Z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