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Tech Nation Visa - Exceptional Promise</w:t>
      </w:r>
      <w:r>
        <w:t xml:space="preserve"> </w:t>
      </w:r>
      <w:r>
        <w:t xml:space="preserve">Criteria: Supporting Technical Evidence</w:t>
      </w:r>
      <w:r>
        <w:t xml:space="preserve"> </w:t>
      </w:r>
      <w:r>
        <w:t xml:space="preserve">Applicant: Odeyemi Olusegun Israel</w:t>
      </w:r>
    </w:p>
    <w:p>
      <w:pPr>
        <w:pStyle w:val="BodyText"/>
      </w:pPr>
      <w:r>
        <w:t xml:space="preserve">Evidence 9: Security Architecture &amp; Automated Smart Contract Auditing</w:t>
      </w:r>
    </w:p>
    <w:p>
      <w:pPr>
        <w:pStyle w:val="BodyText"/>
      </w:pPr>
      <w:r>
        <w:t xml:space="preserve">Executive Summary: I conducted a full institutional-grade security audit of all 38 AMTTP</w:t>
      </w:r>
      <w:r>
        <w:t xml:space="preserve"> </w:t>
      </w:r>
      <w:r>
        <w:t xml:space="preserve">smart contracts, using the same categories of tools used in professional blockchain audits.</w:t>
      </w:r>
      <w:r>
        <w:t xml:space="preserve"> </w:t>
      </w:r>
      <w:r>
        <w:t xml:space="preserve">Smart contracts run on a public blockchain with no central server and limited room for</w:t>
      </w:r>
      <w:r>
        <w:t xml:space="preserve"> </w:t>
      </w:r>
      <w:r>
        <w:t xml:space="preserve">delayed remediation: a code flaw can be exploited quickly and permanently recorded. The</w:t>
      </w:r>
      <w:r>
        <w:t xml:space="preserve"> </w:t>
      </w:r>
      <w:r>
        <w:t xml:space="preserve">audit used three complementary methods: static vulnerability scanning (Slither, developed by</w:t>
      </w:r>
      <w:r>
        <w:t xml:space="preserve"> </w:t>
      </w:r>
      <w:r>
        <w:t xml:space="preserve">Trail of Bits), adversarial fuzz testing with 50,000 random inputs (Echidna), and on-chain</w:t>
      </w:r>
      <w:r>
        <w:t xml:space="preserve"> </w:t>
      </w:r>
      <w:r>
        <w:t xml:space="preserve">execution cost validation (Hardhat). Every artefact is independently reproducible from the</w:t>
      </w:r>
      <w:r>
        <w:t xml:space="preserve"> </w:t>
      </w:r>
      <w:r>
        <w:t xml:space="preserve">public repository.</w:t>
      </w:r>
    </w:p>
    <w:p>
      <w:pPr>
        <w:numPr>
          <w:ilvl w:val="0"/>
          <w:numId w:val="1001"/>
        </w:numPr>
      </w:pPr>
      <w:r>
        <w:t xml:space="preserve">Audit Scope and Tools</w:t>
      </w:r>
      <w:r>
        <w:t xml:space="preserve"> </w:t>
      </w:r>
      <w:r>
        <w:t xml:space="preserve">The audit used three complementary methods across all 38 contracts: (1) Slither — the standard</w:t>
      </w:r>
      <w:r>
        <w:t xml:space="preserve"> </w:t>
      </w:r>
      <w:r>
        <w:t xml:space="preserve">static analyser for blockchain contracts, developed by Trail of Bits — scanned every line of</w:t>
      </w:r>
      <w:r>
        <w:t xml:space="preserve"> </w:t>
      </w:r>
      <w:r>
        <w:t xml:space="preserve">code for known vulnerability patterns; (2) Echidna generated 50,000 randomised adversarial</w:t>
      </w:r>
      <w:r>
        <w:t xml:space="preserve"> </w:t>
      </w:r>
      <w:r>
        <w:t xml:space="preserve">transaction sequences of 100 steps each to confirm that critical access-control rules hold under</w:t>
      </w:r>
      <w:r>
        <w:t xml:space="preserve"> </w:t>
      </w:r>
      <w:r>
        <w:t xml:space="preserve">attack conditions; and (3) Hardhat measured the on-chain computational cost of every contract</w:t>
      </w:r>
      <w:r>
        <w:t xml:space="preserve"> </w:t>
      </w:r>
      <w:r>
        <w:t xml:space="preserve">operation, confirming production viability under Ethereum’s network limits.</w:t>
      </w:r>
    </w:p>
    <w:p>
      <w:pPr>
        <w:numPr>
          <w:ilvl w:val="0"/>
          <w:numId w:val="1001"/>
        </w:numPr>
      </w:pPr>
      <w:r>
        <w:t xml:space="preserve">Slither Static Analysis Findings</w:t>
      </w:r>
      <w:r>
        <w:t xml:space="preserve"> </w:t>
      </w:r>
      <w:r>
        <w:t xml:space="preserve">Slither was run against all 38 original AMTTP contracts. Each finding was reviewed, severity-</w:t>
      </w:r>
      <w:r>
        <w:t xml:space="preserve"> </w:t>
      </w:r>
      <w:r>
        <w:t xml:space="preserve">classified, and resolved before any contract was deployed.</w:t>
      </w:r>
    </w:p>
    <w:p>
      <w:pPr>
        <w:pStyle w:val="FirstParagraph"/>
      </w:pPr>
      <w:r>
        <w:t xml:space="preserve">Slither Findings from the AMTTP Audit Run (4 Jan 2026):</w:t>
      </w:r>
      <w:r>
        <w:t xml:space="preserve"> </w:t>
      </w:r>
      <w:r>
        <w:t xml:space="preserve">MockArbitrator.withdraw() sends eth to arbitrary user</w:t>
      </w:r>
      <w:r>
        <w:t xml:space="preserve"> </w:t>
      </w:r>
      <w:r>
        <w:t xml:space="preserve">Dangerous calls: address(msg.sender).transfer(address(this).balance)</w:t>
      </w:r>
      <w:r>
        <w:t xml:space="preserve"> </w:t>
      </w:r>
      <w:r>
        <w:t xml:space="preserve">Reentrancy in AMTTPDisputeResolver.challengeTransaction(bytes32):</w:t>
      </w:r>
      <w:r>
        <w:t xml:space="preserve"> </w:t>
      </w:r>
      <w:r>
        <w:t xml:space="preserve">External calls:</w:t>
      </w:r>
      <w:r>
        <w:t xml:space="preserve"> </w:t>
      </w:r>
      <w:r>
        <w:t xml:space="preserve">- disputeID = arbitrator.createDispute{value: arbitrationCost}(…)</w:t>
      </w:r>
      <w:r>
        <w:t xml:space="preserve"> </w:t>
      </w:r>
      <w:r>
        <w:t xml:space="preserve">State variables written after the call(s):</w:t>
      </w:r>
      <w:r>
        <w:t xml:space="preserve"> </w:t>
      </w:r>
      <w:r>
        <w:t xml:space="preserve">- escrow.status = EscrowStatus.Challenged</w:t>
      </w:r>
      <w:r>
        <w:t xml:space="preserve"> </w:t>
      </w:r>
      <w:r>
        <w:t xml:space="preserve">AMTTPCore.initiateSwapERC20() ignores return value by</w:t>
      </w:r>
      <w:r>
        <w:t xml:space="preserve"> </w:t>
      </w:r>
      <w:r>
        <w:t xml:space="preserve">IERC20(token).transferFrom(msg.sender, address(this), amount)</w:t>
      </w:r>
      <w:r>
        <w:t xml:space="preserve"> </w:t>
      </w:r>
      <w:r>
        <w:t xml:space="preserve">AMTTP.completeSwap(bytes32,bytes32) ignores return value by</w:t>
      </w:r>
      <w:r>
        <w:t xml:space="preserve"> </w:t>
      </w:r>
      <w:r>
        <w:t xml:space="preserve">IERC20(s.token).transfer(s.seller, s.amount)</w:t>
      </w:r>
      <w:r>
        <w:t xml:space="preserve"> </w:t>
      </w:r>
      <w:r>
        <w:t xml:space="preserve">AMTTPBiconomyModule.riskCache is never initialized.</w:t>
      </w:r>
    </w:p>
    <w:p>
      <w:pPr>
        <w:pStyle w:val="BodyText"/>
      </w:pPr>
      <w:r>
        <w:t xml:space="preserve">Figure 1: Actual Slither output from the AMTTP audit run (4 Jan 2026) across all 38 contracts.</w:t>
      </w:r>
      <w:r>
        <w:t xml:space="preserve"> </w:t>
      </w:r>
      <w:r>
        <w:t xml:space="preserve">Each finding — reentrancy in AMTTPDisputeResolver, unchecked transfer return values, unini-</w:t>
      </w:r>
      <w:r>
        <w:t xml:space="preserve"> </w:t>
      </w:r>
      <w:r>
        <w:t xml:space="preserve">tialised riskCache — was reviewed, severity-classified, and resolved before mainnet deployment.</w:t>
      </w:r>
      <w:r>
        <w:t xml:space="preserve"> </w:t>
      </w:r>
      <w:r>
        <w:t xml:space="preserve">The raw log is independently reproducible.</w:t>
      </w:r>
    </w:p>
    <w:p>
      <w:pPr>
        <w:pStyle w:val="SourceCode"/>
      </w:pPr>
      <w:r>
        <w:rPr>
          <w:rStyle w:val="VerbatimChar"/>
        </w:rPr>
        <w:t xml:space="preserve">                                           1</w:t>
      </w:r>
    </w:p>
    <w:p>
      <w:pPr>
        <w:pStyle w:val="FirstParagraph"/>
      </w:pPr>
      <w:r>
        <w:t xml:space="preserve">3. Echidna Fuzz Testing (Property-Based Verification)</w:t>
      </w:r>
      <w:r>
        <w:t xml:space="preserve"> </w:t>
      </w:r>
      <w:r>
        <w:t xml:space="preserve">Echidna is a professional security tool that generates thousands of random, unpredictable inputs</w:t>
      </w:r>
      <w:r>
        <w:t xml:space="preserve"> </w:t>
      </w:r>
      <w:r>
        <w:t xml:space="preserve">to stress-test a system and find failure cases that structured tests would miss. Configured</w:t>
      </w:r>
      <w:r>
        <w:t xml:space="preserve"> </w:t>
      </w:r>
      <w:r>
        <w:t xml:space="preserve">against the full AMTTP contract suite, it confirmed that critical access-control rules — such</w:t>
      </w:r>
      <w:r>
        <w:t xml:space="preserve"> </w:t>
      </w:r>
      <w:r>
        <w:t xml:space="preserve">as “only an authorised source can submit a risk score” — hold under adversarial conditions.</w:t>
      </w:r>
      <w:r>
        <w:t xml:space="preserve"> </w:t>
      </w:r>
      <w:r>
        <w:t xml:space="preserve">This level of property-based verification is normally commissioned from specialist security audit</w:t>
      </w:r>
      <w:r>
        <w:t xml:space="preserve"> </w:t>
      </w:r>
      <w:r>
        <w:t xml:space="preserve">firms; the configuration and property definitions are in the public repository and independently</w:t>
      </w:r>
      <w:r>
        <w:t xml:space="preserve"> </w:t>
      </w:r>
      <w:r>
        <w:t xml:space="preserve">reproducible.</w:t>
      </w:r>
    </w:p>
    <w:p>
      <w:pPr>
        <w:pStyle w:val="BodyText"/>
      </w:pPr>
      <w:r>
        <w:t xml:space="preserve">Verified Echidna configuration (audit/echidna.yaml):</w:t>
      </w:r>
      <w:r>
        <w:t xml:space="preserve"> </w:t>
      </w:r>
      <w:r>
        <w:t xml:space="preserve">testLimit: 50000 # 50,000 randomised transaction sequences per property</w:t>
      </w:r>
      <w:r>
        <w:t xml:space="preserve"> </w:t>
      </w:r>
      <w:r>
        <w:t xml:space="preserve">seqLen: 100 # 100-step deep function call chains</w:t>
      </w:r>
      <w:r>
        <w:t xml:space="preserve"> </w:t>
      </w:r>
      <w:r>
        <w:t xml:space="preserve">coverage: true # Code coverage tracking enabled</w:t>
      </w:r>
      <w:r>
        <w:t xml:space="preserve"> </w:t>
      </w:r>
      <w:r>
        <w:t xml:space="preserve">workers: 4 # Parallel fuzz workers</w:t>
      </w:r>
      <w:r>
        <w:t xml:space="preserve"> </w:t>
      </w:r>
      <w:r>
        <w:t xml:space="preserve">cryticArgs: [</w:t>
      </w:r>
      <w:r>
        <w:t xml:space="preserve">“–compile-force-framework”</w:t>
      </w:r>
      <w:r>
        <w:t xml:space="preserve">,</w:t>
      </w:r>
      <w:r>
        <w:t xml:space="preserve"> </w:t>
      </w:r>
      <w:r>
        <w:t xml:space="preserve">“hardhat”</w:t>
      </w:r>
      <w:r>
        <w:t xml:space="preserve">]</w:t>
      </w:r>
      <w:r>
        <w:t xml:space="preserve"> </w:t>
      </w:r>
      <w:r>
        <w:t xml:space="preserve">balanceAddr: 0x10000 # 65,536 wei test balance</w:t>
      </w:r>
      <w:r>
        <w:t xml:space="preserve"> </w:t>
      </w:r>
      <w:r>
        <w:t xml:space="preserve">balanceContract: 0xffffffffffffffff</w:t>
      </w:r>
      <w:r>
        <w:t xml:space="preserve"> </w:t>
      </w:r>
      <w:r>
        <w:t xml:space="preserve">Figure 2: Echidna fuzz configuration (audit/echidna.yaml) used to property-test the AMTTP</w:t>
      </w:r>
      <w:r>
        <w:t xml:space="preserve"> </w:t>
      </w:r>
      <w:r>
        <w:t xml:space="preserve">access-control rules. 50,000 randomised transaction sequences of 100 steps each were run against</w:t>
      </w:r>
      <w:r>
        <w:t xml:space="preserve"> </w:t>
      </w:r>
      <w:r>
        <w:t xml:space="preserve">the contracts. This depth of adversarial testing exceeds typical practice even at funded firms;</w:t>
      </w:r>
      <w:r>
        <w:t xml:space="preserve"> </w:t>
      </w:r>
      <w:r>
        <w:t xml:space="preserve">the configuration file is in the public repository and reproducible.</w:t>
      </w:r>
    </w:p>
    <w:p>
      <w:pPr>
        <w:pStyle w:val="Compact"/>
        <w:numPr>
          <w:ilvl w:val="0"/>
          <w:numId w:val="1002"/>
        </w:numPr>
      </w:pPr>
      <w:r>
        <w:t xml:space="preserve">Hardhat Gas Reporter (On-Chain Cost Verification)</w:t>
      </w:r>
      <w:r>
        <w:t xml:space="preserve"> </w:t>
      </w:r>
      <w:r>
        <w:t xml:space="preserve">The automated test suite was configured to measure, for every operation in the contract, how</w:t>
      </w:r>
      <w:r>
        <w:t xml:space="preserve"> </w:t>
      </w:r>
      <w:r>
        <w:t xml:space="preserve">much computational resource (known as “gas”) it consumes on the Ethereum network. This</w:t>
      </w:r>
      <w:r>
        <w:t xml:space="preserve"> </w:t>
      </w:r>
      <w:r>
        <w:t xml:space="preserve">proves that the contracts were executed and confirmed to work correctly under real network</w:t>
      </w:r>
      <w:r>
        <w:t xml:space="preserve"> </w:t>
      </w:r>
      <w:r>
        <w:t xml:space="preserve">conditions, not simply reviewed for syntax.</w:t>
      </w:r>
    </w:p>
    <w:p>
      <w:pPr>
        <w:pStyle w:val="FirstParagraph"/>
      </w:pPr>
      <w:r>
        <w:t xml:space="preserve">Figure 3: Hardhat gas report from the full test suite — method-level computational cost for</w:t>
      </w:r>
      <w:r>
        <w:t xml:space="preserve"> </w:t>
      </w:r>
      <w:r>
        <w:t xml:space="preserve">escrow, dispute, and cross-chain registration functions. Every reported value represents a real</w:t>
      </w:r>
    </w:p>
    <w:p>
      <w:pPr>
        <w:pStyle w:val="SourceCode"/>
      </w:pPr>
      <w:r>
        <w:rPr>
          <w:rStyle w:val="VerbatimChar"/>
        </w:rPr>
        <w:t xml:space="preserve">                                           2</w:t>
      </w:r>
    </w:p>
    <w:p>
      <w:pPr>
        <w:pStyle w:val="FirstParagraph"/>
      </w:pPr>
      <w:r>
        <w:t xml:space="preserve">EVM execution, not a static review. All critical operations fall well within Ethereum’s block gas</w:t>
      </w:r>
      <w:r>
        <w:t xml:space="preserve"> </w:t>
      </w:r>
      <w:r>
        <w:t xml:space="preserve">limit, confirming production viability.</w:t>
      </w:r>
    </w:p>
    <w:p>
      <w:pPr>
        <w:numPr>
          <w:ilvl w:val="0"/>
          <w:numId w:val="1003"/>
        </w:numPr>
      </w:pPr>
      <w:r>
        <w:t xml:space="preserve">Technical Significance</w:t>
      </w:r>
      <w:r>
        <w:t xml:space="preserve"> </w:t>
      </w:r>
      <w:r>
        <w:t xml:space="preserve">Building a complex financial protocol and auditing it to institutional security standards in the</w:t>
      </w:r>
      <w:r>
        <w:t xml:space="preserve"> </w:t>
      </w:r>
      <w:r>
        <w:t xml:space="preserve">same body of work is a strong signal of independent technical ownership. All 38 contracts were</w:t>
      </w:r>
      <w:r>
        <w:t xml:space="preserve"> </w:t>
      </w:r>
      <w:r>
        <w:t xml:space="preserve">scanned line-by-line by Slither (Trail of Bits), stress-tested with 50,000 adversarial sequences</w:t>
      </w:r>
      <w:r>
        <w:t xml:space="preserve"> </w:t>
      </w:r>
      <w:r>
        <w:t xml:space="preserve">by Echidna, and validated against Ethereum network cost limits by the Hardhat gas reporter.</w:t>
      </w:r>
      <w:r>
        <w:t xml:space="preserve"> </w:t>
      </w:r>
      <w:r>
        <w:t xml:space="preserve">Every finding was identified, classified by severity, and resolved before deployment. Every</w:t>
      </w:r>
      <w:r>
        <w:t xml:space="preserve"> </w:t>
      </w:r>
      <w:r>
        <w:t xml:space="preserve">artefact is reproducible from the public repository. The distinguishing characteristic is not</w:t>
      </w:r>
      <w:r>
        <w:t xml:space="preserve"> </w:t>
      </w:r>
      <w:r>
        <w:t xml:space="preserve">merely thoroughness: it is that the same engineer who built the protocol also identified its</w:t>
      </w:r>
      <w:r>
        <w:t xml:space="preserve"> </w:t>
      </w:r>
      <w:r>
        <w:t xml:space="preserve">weaknesses, fixed them, and produced a complete and verifiable chain of evidence from first</w:t>
      </w:r>
      <w:r>
        <w:t xml:space="preserve"> </w:t>
      </w:r>
      <w:r>
        <w:t xml:space="preserve">commit to secure deployment.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                            3</w:t>
      </w:r>
    </w:p>
    <w:p>
      <w:pPr>
        <w:numPr>
          <w:ilvl w:val="0"/>
          <w:numId w:val="1000"/>
        </w:numPr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2026-05-12T15:18:16Z</dcterms:created>
  <dcterms:modified xsi:type="dcterms:W3CDTF">2026-05-12T15:18:16Z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