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Tech Nation Visa - Exceptional Promise</w:t>
      </w:r>
      <w:r>
        <w:t xml:space="preserve"> </w:t>
      </w:r>
      <w:r>
        <w:t xml:space="preserve">Criteria: Optional Criteria 4 (Academic Contributions through Research)</w:t>
      </w:r>
      <w:r>
        <w:t xml:space="preserve"> </w:t>
      </w:r>
      <w:r>
        <w:t xml:space="preserve">Applicant: Odeyemi Olusegun Israel</w:t>
      </w:r>
    </w:p>
    <w:p>
      <w:pPr>
        <w:pStyle w:val="SourceCode"/>
      </w:pPr>
      <w:r>
        <w:rPr>
          <w:rStyle w:val="VerbatimChar"/>
        </w:rPr>
        <w:t xml:space="preserve"> Evidence 2: Blind-Spot Decomposition Theory (BSDT) Framework</w:t>
      </w:r>
    </w:p>
    <w:p>
      <w:pPr>
        <w:pStyle w:val="FirstParagraph"/>
      </w:pPr>
      <w:r>
        <w:t xml:space="preserve">Executive Summary: I independently developed Blind-Spot Decomposition Theory (BSDT),</w:t>
      </w:r>
      <w:r>
        <w:t xml:space="preserve"> </w:t>
      </w:r>
      <w:r>
        <w:t xml:space="preserve">a mathematical framework for diagnosing systematic failure modes in AI fraud-detection models.</w:t>
      </w:r>
      <w:r>
        <w:t xml:space="preserve"> </w:t>
      </w:r>
      <w:r>
        <w:t xml:space="preserve">AI models do not fail randomly. They miss cases in predictable patterns: transactions that</w:t>
      </w:r>
      <w:r>
        <w:t xml:space="preserve"> </w:t>
      </w:r>
      <w:r>
        <w:t xml:space="preserve">mimic normal behaviour slip through undetected, and the specific reasons (data gaps, timing</w:t>
      </w:r>
      <w:r>
        <w:t xml:space="preserve"> </w:t>
      </w:r>
      <w:r>
        <w:t xml:space="preserve">anomalies, distributional camouflage) are invisible to standard accuracy metrics. I developed</w:t>
      </w:r>
      <w:r>
        <w:t xml:space="preserve"> </w:t>
      </w:r>
      <w:r>
        <w:t xml:space="preserve">BSDT to decompose these blind spots into four measurable components and produce a single</w:t>
      </w:r>
      <w:r>
        <w:t xml:space="preserve"> </w:t>
      </w:r>
      <w:r>
        <w:t xml:space="preserve">correction score, without requiring the underlying model to be retrained. Validated on financial</w:t>
      </w:r>
      <w:r>
        <w:t xml:space="preserve"> </w:t>
      </w:r>
      <w:r>
        <w:t xml:space="preserve">fraud data, then applied — unchanged — to power-grid stability and cryptocurrency market</w:t>
      </w:r>
      <w:r>
        <w:t xml:space="preserve"> </w:t>
      </w:r>
      <w:r>
        <w:t xml:space="preserve">collapse, it demonstrates a generalisable mathematical structure rather than a domain-specific</w:t>
      </w:r>
      <w:r>
        <w:t xml:space="preserve"> </w:t>
      </w:r>
      <w:r>
        <w:t xml:space="preserve">fix.</w:t>
      </w:r>
    </w:p>
    <w:p>
      <w:pPr>
        <w:pStyle w:val="Compact"/>
        <w:numPr>
          <w:ilvl w:val="0"/>
          <w:numId w:val="1001"/>
        </w:numPr>
      </w:pPr>
      <w:r>
        <w:t xml:space="preserve">Cross-Domain Results</w:t>
      </w:r>
      <w:r>
        <w:t xml:space="preserve"> </w:t>
      </w:r>
      <w:r>
        <w:t xml:space="preserve">BSDT reduces fraudulent-transaction false-positive rates by 99.94% (from 36,469 false</w:t>
      </w:r>
      <w:r>
        <w:t xml:space="preserve"> </w:t>
      </w:r>
      <w:r>
        <w:t xml:space="preserve">alerts down to 22 in benchmark datasets), predicted the 2021 Texas ERCOT power-grid</w:t>
      </w:r>
      <w:r>
        <w:t xml:space="preserve"> </w:t>
      </w:r>
      <w:r>
        <w:t xml:space="preserve">collapse 72 hours before it occurred (AUC 0.9997 on publicly available grid data), and</w:t>
      </w:r>
      <w:r>
        <w:t xml:space="preserve"> </w:t>
      </w:r>
      <w:r>
        <w:t xml:space="preserve">issued a 30-hour advance warning of the Terra/Luna cryptocurrency collapse in</w:t>
      </w:r>
      <w:r>
        <w:t xml:space="preserve"> </w:t>
      </w:r>
      <w:r>
        <w:t xml:space="preserve">2022 — all from the same mathematical model, retrained on no new data. The cross-domain</w:t>
      </w:r>
      <w:r>
        <w:t xml:space="preserve"> </w:t>
      </w:r>
      <w:r>
        <w:t xml:space="preserve">results are the key evidence: a model trained on financial fraud detects instability precursors in</w:t>
      </w:r>
      <w:r>
        <w:t xml:space="preserve"> </w:t>
      </w:r>
      <w:r>
        <w:t xml:space="preserve">structurally different time-series without modification.</w:t>
      </w:r>
    </w:p>
    <w:p>
      <w:pPr>
        <w:pStyle w:val="FirstParagraph"/>
      </w:pPr>
      <w:r>
        <w:t xml:space="preserve">BSDT Four-Channel Decomposition:</w:t>
      </w:r>
      <w:r>
        <w:t xml:space="preserve"> </w:t>
      </w:r>
      <w:r>
        <w:t xml:space="preserve"> </w:t>
      </w:r>
      <w:r>
        <w:t xml:space="preserve"> </w:t>
      </w:r>
      <w:r>
        <w:t xml:space="preserve">∥x − µref ∥</w:t>
      </w:r>
      <w:r>
        <w:t xml:space="preserve"> </w:t>
      </w:r>
      <w:r>
        <w:t xml:space="preserve">δC = 1 − clip , 0, 1 (Camouflage)</w:t>
      </w:r>
      <w:r>
        <w:t xml:space="preserve"> </w:t>
      </w:r>
      <w:r>
        <w:t xml:space="preserve">dmax</w:t>
      </w:r>
      <w:r>
        <w:t xml:space="preserve"> </w:t>
      </w:r>
      <w:r>
        <w:t xml:space="preserve"># near-zero features</w:t>
      </w:r>
      <w:r>
        <w:t xml:space="preserve"> </w:t>
      </w:r>
      <w:r>
        <w:t xml:space="preserve">δG = (Feature Gap)</w:t>
      </w:r>
      <w:r>
        <w:t xml:space="preserve"> </w:t>
      </w:r>
      <w:r>
        <w:t xml:space="preserve">p</w:t>
      </w:r>
      <w:r>
        <w:t xml:space="preserve"> </w:t>
      </w:r>
      <w:r>
        <w:t xml:space="preserve">!</w:t>
      </w:r>
      <w:r>
        <w:t xml:space="preserve"> </w:t>
      </w:r>
      <w:r>
        <w:t xml:space="preserve">dMahal − d˜ref</w:t>
      </w:r>
      <w:r>
        <w:t xml:space="preserve"> </w:t>
      </w:r>
      <w:r>
        <w:t xml:space="preserve">δA = σ (Activity Anomaly)</w:t>
      </w:r>
      <w:r>
        <w:t xml:space="preserve"> </w:t>
      </w:r>
      <w:r>
        <w:t xml:space="preserve">d˜ref</w:t>
      </w:r>
      <w:r>
        <w:t xml:space="preserve"> </w:t>
      </w:r>
      <w:r>
        <w:t xml:space="preserve">!!</w:t>
      </w:r>
      <w:r>
        <w:t xml:space="preserve"> </w:t>
      </w:r>
      <w:r>
        <w:t xml:space="preserve">dkNN</w:t>
      </w:r>
      <w:r>
        <w:t xml:space="preserve"> </w:t>
      </w:r>
      <w:r>
        <w:t xml:space="preserve">δT = σ 0.5 · −2 (Temporal Novelty)</w:t>
      </w:r>
      <w:r>
        <w:t xml:space="preserve"> </w:t>
      </w:r>
      <w:r>
        <w:t xml:space="preserve">d˜kNN,ref</w:t>
      </w:r>
    </w:p>
    <w:p>
      <w:pPr>
        <w:pStyle w:val="BodyText"/>
      </w:pPr>
      <w:r>
        <w:t xml:space="preserve">Blind-Spot Energy &amp; Missed Fraud Likelihood Score:</w:t>
      </w:r>
      <w:r>
        <w:t xml:space="preserve"> </w:t>
      </w:r>
      <w:r>
        <w:t xml:space="preserve">X</w:t>
      </w:r>
      <w:r>
        <w:t xml:space="preserve"> </w:t>
      </w:r>
      <w:r>
        <w:t xml:space="preserve">EBS = δi2 (Total blind-spot energy)</w:t>
      </w:r>
      <w:r>
        <w:t xml:space="preserve"> </w:t>
      </w:r>
      <w:r>
        <w:t xml:space="preserve">i∈{C,G,A,T }</w:t>
      </w:r>
    </w:p>
    <w:p>
      <w:pPr>
        <w:pStyle w:val="SourceCode"/>
      </w:pPr>
      <w:r>
        <w:rPr>
          <w:rStyle w:val="VerbatimChar"/>
        </w:rPr>
        <w:t xml:space="preserve">            MFLS = ∥∇EBS ∥F                             (Gradient-norm score)</w:t>
      </w:r>
      <w:r>
        <w:br/>
      </w:r>
      <w:r>
        <w:rPr>
          <w:rStyle w:val="VerbatimChar"/>
        </w:rPr>
        <w:t xml:space="preserve">        Combined = 0.5 · ÊBS + 0.5 · MFLS</w:t>
      </w:r>
      <w:r>
        <w:br/>
      </w:r>
      <w:r>
        <w:rPr>
          <w:rStyle w:val="VerbatimChar"/>
        </w:rPr>
        <w:t xml:space="preserve">                                      \                 (Equal-weight average)</w:t>
      </w:r>
    </w:p>
    <w:p>
      <w:pPr>
        <w:pStyle w:val="FirstParagraph"/>
      </w:pPr>
      <w:r>
        <w:t xml:space="preserve">Figure 1: The four-channel BSDT decomposition. Each channel (Camouflage δC , Feature Gap</w:t>
      </w:r>
      <w:r>
        <w:t xml:space="preserve"> </w:t>
      </w:r>
      <w:r>
        <w:t xml:space="preserve">δG , Activity Anomaly δA , Temporal Novelty δT ) captures a distinct mode by which an AI model</w:t>
      </w:r>
      <w:r>
        <w:t xml:space="preserve"> </w:t>
      </w:r>
      <w:r>
        <w:t xml:space="preserve">can miss fraud. The combined MFLS score enables targeted remediation without retraining the</w:t>
      </w:r>
      <w:r>
        <w:t xml:space="preserve"> </w:t>
      </w:r>
      <w:r>
        <w:t xml:space="preserve">model from scratch. Validated across fraud detection, power-grid stability, and cryptocurrency</w:t>
      </w:r>
      <w:r>
        <w:t xml:space="preserve"> </w:t>
      </w:r>
      <w:r>
        <w:t xml:space="preserve">collapse datasets.</w:t>
      </w:r>
    </w:p>
    <w:p>
      <w:pPr>
        <w:pStyle w:val="SourceCode"/>
      </w:pPr>
      <w:r>
        <w:rPr>
          <w:rStyle w:val="VerbatimChar"/>
        </w:rPr>
        <w:t xml:space="preserve">                                             1</w:t>
      </w:r>
    </w:p>
    <w:p>
      <w:pPr>
        <w:pStyle w:val="FirstParagraph"/>
      </w:pPr>
      <w:r>
        <w:t xml:space="preserve">2. Research Code Implementation</w:t>
      </w:r>
      <w:r>
        <w:t xml:space="preserve"> </w:t>
      </w:r>
      <w:r>
        <w:t xml:space="preserve">BSDT is an optional diagnostic tool for enterprise clients needing to understand why their AI</w:t>
      </w:r>
      <w:r>
        <w:t xml:space="preserve"> </w:t>
      </w:r>
      <w:r>
        <w:t xml:space="preserve">models generate blind spots, or to add a correction layer over existing systems. Publication</w:t>
      </w:r>
      <w:r>
        <w:t xml:space="preserve"> </w:t>
      </w:r>
      <w:r>
        <w:t xml:space="preserve">metrics and academic adoption evidence are in OC4-2 and OC4-3.</w:t>
      </w:r>
    </w:p>
    <w:p>
      <w:pPr>
        <w:pStyle w:val="BodyText"/>
      </w:pPr>
      <w:r>
        <w:t xml:space="preserve">BSDT Implementation (from research/udl/udl/system mode.py):</w:t>
      </w:r>
      <w:r>
        <w:t xml:space="preserve"> </w:t>
      </w:r>
      <w:r>
        <w:t xml:space="preserve">class BSDTChannels:</w:t>
      </w:r>
      <w:r>
        <w:t xml:space="preserve"> </w:t>
      </w:r>
      <w:r>
        <w:t xml:space="preserve">““</w:t>
      </w:r>
      <w:r>
        <w:t xml:space="preserve">“Blind-Spot Detection Tensor — four complementary channels.”</w:t>
      </w:r>
      <w:r>
        <w:t xml:space="preserve">“”</w:t>
      </w:r>
      <w:r>
        <w:t xml:space="preserve"> </w:t>
      </w:r>
      <w:r>
        <w:t xml:space="preserve">def fit(self, X ref: np.ndarray) -&gt; ’BSDTChannels’:</w:t>
      </w:r>
      <w:r>
        <w:t xml:space="preserve"> </w:t>
      </w:r>
      <w:r>
        <w:t xml:space="preserve">self.mu = X ref.mean(axis=0)</w:t>
      </w:r>
      <w:r>
        <w:t xml:space="preserve"> </w:t>
      </w:r>
      <w:r>
        <w:t xml:space="preserve">self.d max = max(float(np.linalg.norm(X ref - self.mu , axis=1).max()), self.eps)</w:t>
      </w:r>
      <w:r>
        <w:t xml:space="preserve"> </w:t>
      </w:r>
      <w:r>
        <w:t xml:space="preserve">self.mahal ref median = float(np.median(self. mahalanobis(X ref)))</w:t>
      </w:r>
      <w:r>
        <w:t xml:space="preserve"> </w:t>
      </w:r>
      <w:r>
        <w:t xml:space="preserve">self.ref knn median = float(np.median(ref dists[:, -1]))</w:t>
      </w:r>
      <w:r>
        <w:t xml:space="preserve"> </w:t>
      </w:r>
      <w:r>
        <w:t xml:space="preserve">def mfls(self, X: np.ndarray) -&gt; np.ndarray:</w:t>
      </w:r>
      <w:r>
        <w:t xml:space="preserve"> </w:t>
      </w:r>
      <w:r>
        <w:t xml:space="preserve">return np.linalg.norm(self. gradient vectors(X), axis=1)</w:t>
      </w:r>
      <w:r>
        <w:t xml:space="preserve"> </w:t>
      </w:r>
      <w:r>
        <w:t xml:space="preserve">def score(self, X: np.ndarray) -&gt; np.ndarray:</w:t>
      </w:r>
      <w:r>
        <w:t xml:space="preserve"> </w:t>
      </w:r>
      <w:r>
        <w:t xml:space="preserve">e = self.energy(X)</w:t>
      </w:r>
      <w:r>
        <w:t xml:space="preserve"> </w:t>
      </w:r>
      <w:r>
        <w:t xml:space="preserve">m = self.mfls(X)</w:t>
      </w:r>
      <w:r>
        <w:t xml:space="preserve"> </w:t>
      </w:r>
      <w:r>
        <w:t xml:space="preserve">return 0.5 * (e / e.max()) + 0.5 * (m / m.max())</w:t>
      </w:r>
      <w:r>
        <w:t xml:space="preserve"> </w:t>
      </w:r>
      <w:r>
        <w:t xml:space="preserve">Figure 2: Working production code implementing the BSDT framework (system mode.py in the</w:t>
      </w:r>
      <w:r>
        <w:t xml:space="preserve"> </w:t>
      </w:r>
      <w:r>
        <w:t xml:space="preserve">public repository). fit() calibrates against a reference dataset; mfls() computes the gradient-</w:t>
      </w:r>
      <w:r>
        <w:t xml:space="preserve"> </w:t>
      </w:r>
      <w:r>
        <w:t xml:space="preserve">norm missed-fraud score; score() returns the equal-weight combined output. Maintained as a</w:t>
      </w:r>
      <w:r>
        <w:t xml:space="preserve"> </w:t>
      </w:r>
      <w:r>
        <w:t xml:space="preserve">standalone research tool, separate from the live compliance pipeline.</w:t>
      </w:r>
    </w:p>
    <w:p>
      <w:pPr>
        <w:pStyle w:val="Compact"/>
        <w:numPr>
          <w:ilvl w:val="0"/>
          <w:numId w:val="1002"/>
        </w:numPr>
      </w:pPr>
      <w:r>
        <w:t xml:space="preserve">Cross-Domain Validation</w:t>
      </w:r>
      <w:r>
        <w:t xml:space="preserve"> </w:t>
      </w:r>
      <w:r>
        <w:t xml:space="preserve">Dataset / Domain Result Key metric</w:t>
      </w:r>
      <w:r>
        <w:t xml:space="preserve"> </w:t>
      </w:r>
      <w:r>
        <w:t xml:space="preserve">Fraud benchmark (single run) 99.94% false-positive reduc- 36,469 → 22 alerts</w:t>
      </w:r>
      <w:r>
        <w:t xml:space="preserve"> </w:t>
      </w:r>
      <w:r>
        <w:t xml:space="preserve">tion</w:t>
      </w:r>
      <w:r>
        <w:t xml:space="preserve"> </w:t>
      </w:r>
      <w:r>
        <w:t xml:space="preserve">12 fraud datasets (66 vari- Zero missed fraud in 10/12 Mean F1 0.787</w:t>
      </w:r>
      <w:r>
        <w:t xml:space="preserve"> </w:t>
      </w:r>
      <w:r>
        <w:t xml:space="preserve">ants)</w:t>
      </w:r>
      <w:r>
        <w:t xml:space="preserve"> </w:t>
      </w:r>
      <w:r>
        <w:t xml:space="preserve">2021 Texas ERCOT power 72-hour advance warning AUC 0.9997</w:t>
      </w:r>
      <w:r>
        <w:t xml:space="preserve"> </w:t>
      </w:r>
      <w:r>
        <w:t xml:space="preserve">grid</w:t>
      </w:r>
      <w:r>
        <w:t xml:space="preserve"> </w:t>
      </w:r>
      <w:r>
        <w:t xml:space="preserve">2022 Terra/Luna cryptocur- 30-hour advance warning On-chain data only</w:t>
      </w:r>
      <w:r>
        <w:t xml:space="preserve"> </w:t>
      </w:r>
      <w:r>
        <w:t xml:space="preserve">rency</w:t>
      </w:r>
      <w:r>
        <w:t xml:space="preserve"> </w:t>
      </w:r>
      <w:r>
        <w:t xml:space="preserve">2008 US banking crisis Six-quarter early warning AUROC 0.867</w:t>
      </w:r>
      <w:r>
        <w:t xml:space="preserve"> </w:t>
      </w:r>
      <w:r>
        <w:t xml:space="preserve">(FDIC)</w:t>
      </w:r>
    </w:p>
    <w:p>
      <w:pPr>
        <w:pStyle w:val="FirstParagraph"/>
      </w:pPr>
      <w:r>
        <w:t xml:space="preserve">Table 1: BSDT validated across five independent scenarios spanning three problem domains. All data</w:t>
      </w:r>
      <w:r>
        <w:t xml:space="preserve"> </w:t>
      </w:r>
      <w:r>
        <w:t xml:space="preserve">sources are publicly available; no privileged information was used in any evaluation. Benchmark scripts</w:t>
      </w:r>
      <w:r>
        <w:t xml:space="preserve"> </w:t>
      </w:r>
      <w:r>
        <w:t xml:space="preserve">are in the public repository.</w:t>
      </w:r>
    </w:p>
    <w:p>
      <w:pPr>
        <w:pStyle w:val="BodyText"/>
      </w:pPr>
      <w:r>
        <w:t xml:space="preserve">The cross-domain results show that BSDT captures a repeatable mathematical structure rather</w:t>
      </w:r>
      <w:r>
        <w:t xml:space="preserve"> </w:t>
      </w:r>
      <w:r>
        <w:t xml:space="preserve">than a domain-specific pattern. The model was trained once on financial fraud data and applied</w:t>
      </w:r>
      <w:r>
        <w:t xml:space="preserve"> </w:t>
      </w:r>
      <w:r>
        <w:t xml:space="preserve">without modification to power-grid sensor readings and cryptocurrency market data — struc-</w:t>
      </w:r>
      <w:r>
        <w:t xml:space="preserve"> </w:t>
      </w:r>
      <w:r>
        <w:t xml:space="preserve">turally distinct time-series domains. The ERCOT 72-hour signal identifies the same frequency-</w:t>
      </w:r>
      <w:r>
        <w:t xml:space="preserve"> </w:t>
      </w:r>
      <w:r>
        <w:t xml:space="preserve">deviation precursors later documented in the official FERC/NERC post-incident investigation:</w:t>
      </w:r>
      <w:r>
        <w:t xml:space="preserve"> </w:t>
      </w:r>
      <w:r>
        <w:t xml:space="preserve">the framework converged on the right features without access to the retrospective analysis. The</w:t>
      </w:r>
      <w:r>
        <w:t xml:space="preserve"> </w:t>
      </w:r>
      <w:r>
        <w:t xml:space="preserve">2008 banking crisis result extends the signal to a six-quarter horizon, showing that the frame-</w:t>
      </w:r>
      <w:r>
        <w:t xml:space="preserve"> </w:t>
      </w:r>
      <w:r>
        <w:t xml:space="preserve">work’s sensitivity covers slow-accumulating systemic risk, not only acute single-event collapses.</w:t>
      </w:r>
      <w:r>
        <w:t xml:space="preserve"> </w:t>
      </w:r>
      <w:r>
        <w:t xml:space="preserve">The 792-evaluation study (66 variants, 12 datasets) establishes statistical reliability beyond any</w:t>
      </w:r>
      <w:r>
        <w:t xml:space="preserve"> </w:t>
      </w:r>
      <w:r>
        <w:t xml:space="preserve">individual benchmark.</w:t>
      </w:r>
    </w:p>
    <w:p>
      <w:pPr>
        <w:pStyle w:val="SourceCode"/>
      </w:pPr>
      <w:r>
        <w:rPr>
          <w:rStyle w:val="VerbatimChar"/>
        </w:rPr>
        <w:t xml:space="preserve">                                              2</w:t>
      </w:r>
    </w:p>
    <w:p>
      <w:pPr>
        <w:pStyle w:val="FirstParagraph"/>
      </w:pPr>
      <w:r>
        <w:t xml:space="preserve">Technical significance: A diagnostic framework that reduces AML false-positive alerts by</w:t>
      </w:r>
      <w:r>
        <w:t xml:space="preserve"> </w:t>
      </w:r>
      <w:r>
        <w:t xml:space="preserve">99.94%, issued a 30-hour warning before the Terra/Luna cryptocurrency collapse, and identified</w:t>
      </w:r>
      <w:r>
        <w:t xml:space="preserve"> </w:t>
      </w:r>
      <w:r>
        <w:t xml:space="preserve">a national power-grid failure 72 hours in advance — all from one mathematical model, trained</w:t>
      </w:r>
      <w:r>
        <w:t xml:space="preserve"> </w:t>
      </w:r>
      <w:r>
        <w:t xml:space="preserve">once — is a substantial contribution to applied mathematics and financial risk. It was produced</w:t>
      </w:r>
      <w:r>
        <w:t xml:space="preserve"> </w:t>
      </w:r>
      <w:r>
        <w:t xml:space="preserve">independently, published openly, and adopted into university teaching without any contact with</w:t>
      </w:r>
      <w:r>
        <w:t xml:space="preserve"> </w:t>
      </w:r>
      <w:r>
        <w:t xml:space="preserve">me. Publication record: OC4-2. Academic adoption: OC4-3.</w:t>
      </w:r>
    </w:p>
    <w:p>
      <w:pPr>
        <w:pStyle w:val="SourceCode"/>
      </w:pPr>
      <w:r>
        <w:rPr>
          <w:rStyle w:val="VerbatimChar"/>
        </w:rPr>
        <w:t xml:space="preserve">                                          3</w:t>
      </w:r>
    </w:p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2026-05-12T15:18:17Z</dcterms:created>
  <dcterms:modified xsi:type="dcterms:W3CDTF">2026-05-12T15:18:17Z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