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Optional Criteria 4 (Academic Contributions through Research)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Evidence 4: Academic Publications &amp; Global Research Impact</w:t>
      </w:r>
    </w:p>
    <w:p>
      <w:pPr>
        <w:numPr>
          <w:ilvl w:val="0"/>
          <w:numId w:val="1001"/>
        </w:numPr>
      </w:pPr>
      <w:r>
        <w:t xml:space="preserve">Executive Summary</w:t>
      </w:r>
      <w:r>
        <w:t xml:space="preserve"> </w:t>
      </w:r>
      <w:r>
        <w:t xml:space="preserve">I wrote and published four research papers without institutional affiliation, co-authors, or pro-</w:t>
      </w:r>
      <w:r>
        <w:t xml:space="preserve"> </w:t>
      </w:r>
      <w:r>
        <w:t xml:space="preserve">motion budget on TechRxiv (the IEEE engineering preprint platform) and Zenodo (a CERN-hosted</w:t>
      </w:r>
      <w:r>
        <w:t xml:space="preserve"> </w:t>
      </w:r>
      <w:r>
        <w:t xml:space="preserve">open-access research archive). In under ten weeks they recorded 365 views and 210 downloads.</w:t>
      </w:r>
      <w:r>
        <w:t xml:space="preserve"> </w:t>
      </w:r>
      <w:r>
        <w:t xml:space="preserve">Three were independently selected as required reading for an accredited postgraduate course by a</w:t>
      </w:r>
      <w:r>
        <w:t xml:space="preserve"> </w:t>
      </w:r>
      <w:r>
        <w:t xml:space="preserve">Top 2% World Scientist (Stanford University annual citation impact ranking), without any prior</w:t>
      </w:r>
      <w:r>
        <w:t xml:space="preserve"> </w:t>
      </w:r>
      <w:r>
        <w:t xml:space="preserve">contact with me. The course evidence is documented separately in the OC4 CPE 604 Addendum.</w:t>
      </w:r>
    </w:p>
    <w:p>
      <w:pPr>
        <w:numPr>
          <w:ilvl w:val="0"/>
          <w:numId w:val="1001"/>
        </w:numPr>
      </w:pPr>
      <w:r>
        <w:t xml:space="preserve">The AMTTP Infrastructure Paper (TechRxiv)</w:t>
      </w:r>
      <w:r>
        <w:t xml:space="preserve"> </w:t>
      </w:r>
      <w:r>
        <w:t xml:space="preserve">Published: 27 February 2026 | Metrics: 230 Views, 153 Downloads (as of 5 May 2026)</w:t>
      </w:r>
      <w:r>
        <w:t xml:space="preserve"> </w:t>
      </w:r>
      <w:r>
        <w:t xml:space="preserve">DOI: 10.36227/techrxiv.177220113.33816607/v1</w:t>
      </w:r>
      <w:r>
        <w:t xml:space="preserve"> </w:t>
      </w:r>
      <w:r>
        <w:t xml:space="preserve">The first paper, introducing the AMTTP system design to the academic community — specifically</w:t>
      </w:r>
      <w:r>
        <w:t xml:space="preserve"> </w:t>
      </w:r>
      <w:r>
        <w:t xml:space="preserve">how the blockchain enforcement layer and the AI fraud-detection engine are connected. It recorded</w:t>
      </w:r>
      <w:r>
        <w:t xml:space="preserve"> </w:t>
      </w:r>
      <w:r>
        <w:t xml:space="preserve">230 views and 153 downloads in roughly ten weeks, with no institutional promotion.</w:t>
      </w:r>
    </w:p>
    <w:p>
      <w:pPr>
        <w:pStyle w:val="FirstParagraph"/>
      </w:pPr>
      <w:r>
        <w:t xml:space="preserve">Figure 1: TechRxiv analytics — 230 views, 153 downloads; 10 weeks, no institutional promotion.</w:t>
      </w:r>
    </w:p>
    <w:p>
      <w:pPr>
        <w:numPr>
          <w:ilvl w:val="0"/>
          <w:numId w:val="1002"/>
        </w:numPr>
      </w:pPr>
      <w:r>
        <w:t xml:space="preserve">Blind-Spot Decomposition Theory — BSDT (Zenodo)</w:t>
      </w:r>
      <w:r>
        <w:t xml:space="preserve"> </w:t>
      </w:r>
      <w:r>
        <w:t xml:space="preserve">Published: 5 March 2026 | Metrics: 135 Views, 57 Downloads (as of 5 May 2026)</w:t>
      </w:r>
      <w:r>
        <w:t xml:space="preserve"> </w:t>
      </w:r>
      <w:r>
        <w:t xml:space="preserve">DOI: 10.5281/zenodo.18870590</w:t>
      </w:r>
      <w:r>
        <w:t xml:space="preserve"> </w:t>
      </w:r>
      <w:r>
        <w:t xml:space="preserve">The theoretical framework paper: its four-channel decomposition, mathematical derivations, cross-</w:t>
      </w:r>
      <w:r>
        <w:t xml:space="preserve"> </w:t>
      </w:r>
      <w:r>
        <w:t xml:space="preserve">domain validation results, and working code implementation are detailed in OC4-1. It recorded 135</w:t>
      </w:r>
      <w:r>
        <w:t xml:space="preserve"> </w:t>
      </w:r>
      <w:r>
        <w:t xml:space="preserve">views and 57 downloads on Zenodo, confirming independent academic interest.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 1</w:t>
      </w:r>
    </w:p>
    <w:p>
      <w:pPr>
        <w:numPr>
          <w:ilvl w:val="0"/>
          <w:numId w:val="1000"/>
        </w:numPr>
      </w:pPr>
      <w:r>
        <w:t xml:space="preserve">Figure 2: Zenodo analytics — 135 views, 57 downloads for the BSDT paper. Combined primary</w:t>
      </w:r>
      <w:r>
        <w:t xml:space="preserve"> </w:t>
      </w:r>
      <w:r>
        <w:t xml:space="preserve">papers: 365 views, 210 downloads.</w:t>
      </w:r>
    </w:p>
    <w:p>
      <w:pPr>
        <w:numPr>
          <w:ilvl w:val="0"/>
          <w:numId w:val="1002"/>
        </w:numPr>
      </w:pPr>
      <w:r>
        <w:t xml:space="preserve">Blind-Spot Decomposition and the Geometry of System Collapse</w:t>
      </w:r>
      <w:r>
        <w:t xml:space="preserve"> </w:t>
      </w:r>
      <w:r>
        <w:t xml:space="preserve">(Zenodo)</w:t>
      </w:r>
      <w:r>
        <w:t xml:space="preserve"> </w:t>
      </w:r>
      <w:r>
        <w:t xml:space="preserve">Published: 16 March 2026 | DOI: 10.5281/zenodo.19038783</w:t>
      </w:r>
      <w:r>
        <w:t xml:space="preserve"> </w:t>
      </w:r>
      <w:r>
        <w:t xml:space="preserve">This paper extends BSDT using topology and control theory, testing whether the same frame-</w:t>
      </w:r>
      <w:r>
        <w:t xml:space="preserve"> </w:t>
      </w:r>
      <w:r>
        <w:t xml:space="preserve">work detects instability beyond financial fraud. It was applied to three independent crisis datasets</w:t>
      </w:r>
      <w:r>
        <w:t xml:space="preserve"> </w:t>
      </w:r>
      <w:r>
        <w:t xml:space="preserve">(2008 US banking crisis, Terra/Luna collapse, 2021 Texas power-grid failure) without retraining;</w:t>
      </w:r>
      <w:r>
        <w:t xml:space="preserve"> </w:t>
      </w:r>
      <w:r>
        <w:t xml:space="preserve">quantitative results are in OC4-1. This is generalisable mathematical theory, not product-specific</w:t>
      </w:r>
      <w:r>
        <w:t xml:space="preserve"> </w:t>
      </w:r>
      <w:r>
        <w:t xml:space="preserve">implementation.</w:t>
      </w:r>
    </w:p>
    <w:p>
      <w:pPr>
        <w:pStyle w:val="FirstParagraph"/>
      </w:pPr>
      <w:r>
        <w:t xml:space="preserve">Figure 3: Zenodo — Geometry of System Collapse. Three crisis datasets, no retraining. AUROC</w:t>
      </w:r>
      <w:r>
        <w:t xml:space="preserve"> </w:t>
      </w:r>
      <w:r>
        <w:t xml:space="preserve">0.9997 on ERCOT.</w:t>
      </w:r>
    </w:p>
    <w:p>
      <w:pPr>
        <w:numPr>
          <w:ilvl w:val="0"/>
          <w:numId w:val="1003"/>
        </w:numPr>
      </w:pPr>
      <w:r>
        <w:t xml:space="preserve">Universal Deviation Principle (UDP)</w:t>
      </w:r>
      <w:r>
        <w:t xml:space="preserve"> </w:t>
      </w:r>
      <w:r>
        <w:t xml:space="preserve">Published: 15 March 2026 | Version DOI: 10.5281/zenodo.19037688</w:t>
      </w:r>
      <w:r>
        <w:t xml:space="preserve"> </w:t>
      </w:r>
      <w:r>
        <w:t xml:space="preserve">The fourth paper extends BSDT into a fully general anomaly-detection framework, defining 14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  2</w:t>
      </w:r>
    </w:p>
    <w:p>
      <w:pPr>
        <w:numPr>
          <w:ilvl w:val="0"/>
          <w:numId w:val="1000"/>
        </w:numPr>
      </w:pPr>
      <w:r>
        <w:t xml:space="preserve">composable operations from five branches of mathematics and formally proving six theoretical guar-</w:t>
      </w:r>
      <w:r>
        <w:t xml:space="preserve"> </w:t>
      </w:r>
      <w:r>
        <w:t xml:space="preserve">antees, including reliability with small data samples. It completes the research progression: from</w:t>
      </w:r>
      <w:r>
        <w:t xml:space="preserve"> </w:t>
      </w:r>
      <w:r>
        <w:t xml:space="preserve">AMTTP (applied engineering system), to BSDT (mathematical framework), to UDP (foundational</w:t>
      </w:r>
      <w:r>
        <w:t xml:space="preserve"> </w:t>
      </w:r>
      <w:r>
        <w:t xml:space="preserve">anomaly-detection theory).</w:t>
      </w:r>
    </w:p>
    <w:p>
      <w:pPr>
        <w:pStyle w:val="FirstParagraph"/>
      </w:pPr>
      <w:r>
        <w:t xml:space="preserve">Figure 4: Zenodo — UDP paper (20 views, 22 downloads). Evidences continued theoretical output.</w:t>
      </w:r>
    </w:p>
    <w:p>
      <w:pPr>
        <w:numPr>
          <w:ilvl w:val="0"/>
          <w:numId w:val="1004"/>
        </w:numPr>
      </w:pPr>
      <w:r>
        <w:t xml:space="preserve">External Academic Recognition</w:t>
      </w:r>
      <w:r>
        <w:t xml:space="preserve"> </w:t>
      </w:r>
      <w:r>
        <w:t xml:space="preserve">Both endorsements were unsolicited.</w:t>
      </w:r>
      <w:r>
        <w:t xml:space="preserve"> </w:t>
      </w:r>
      <w:r>
        <w:t xml:space="preserve">Prof. A. S. O. Ogunjuyigbe (Professor of Electrical and Electronic Engineering, Provost of the</w:t>
      </w:r>
      <w:r>
        <w:t xml:space="preserve"> </w:t>
      </w:r>
      <w:r>
        <w:t xml:space="preserve">Postgraduate College, University of Ibadan) independently confirmed that the 72-hour ERCOT ad-</w:t>
      </w:r>
      <w:r>
        <w:t xml:space="preserve"> </w:t>
      </w:r>
      <w:r>
        <w:t xml:space="preserve">vance warning identifies the same precursors documented in the official FERC/NERC post-incident</w:t>
      </w:r>
      <w:r>
        <w:t xml:space="preserve"> </w:t>
      </w:r>
      <w:r>
        <w:t xml:space="preserve">investigation. He judged the work “highly significant.” An engineering professor with no prior</w:t>
      </w:r>
      <w:r>
        <w:t xml:space="preserve"> </w:t>
      </w:r>
      <w:r>
        <w:t xml:space="preserve">knowledge of my research reached the same conclusion as a federal regulatory body.</w:t>
      </w:r>
      <w:r>
        <w:t xml:space="preserve"> </w:t>
      </w:r>
      <w:r>
        <w:t xml:space="preserve">Dr Sunday Adeola Ajagbe (Top 2% of World Scientists 2025, Stanford University; Senior</w:t>
      </w:r>
      <w:r>
        <w:t xml:space="preserve"> </w:t>
      </w:r>
      <w:r>
        <w:t xml:space="preserve">Lecturer, Abiola Ajimobi Technical University; Research Associate, University of Zululand) adopted</w:t>
      </w:r>
      <w:r>
        <w:t xml:space="preserve"> </w:t>
      </w:r>
      <w:r>
        <w:t xml:space="preserve">three of my papers into CPE 604 as required postgraduate reading and describes the work as</w:t>
      </w:r>
      <w:r>
        <w:t xml:space="preserve"> </w:t>
      </w:r>
      <w:r>
        <w:t xml:space="preserve">“exceptional promise in digital technology.” Full course evidence — lecture slides, signed reference</w:t>
      </w:r>
      <w:r>
        <w:t xml:space="preserve"> </w:t>
      </w:r>
      <w:r>
        <w:t xml:space="preserve">letter — is in the OC4 CPE 604 Addendum.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  3</w:t>
      </w:r>
    </w:p>
    <w:p>
      <w:pPr>
        <w:numPr>
          <w:ilvl w:val="0"/>
          <w:numId w:val="1000"/>
        </w:numPr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2026-05-12T15:18:19Z</dcterms:created>
  <dcterms:modified xsi:type="dcterms:W3CDTF">2026-05-12T15:18:19Z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