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</w:t>
      </w:r>
      <w:r>
        <w:t xml:space="preserve"> </w:t>
      </w:r>
      <w:r>
        <w:t xml:space="preserve">Criteria: Optional Criteria 4 (Academic Contributions through Research)</w:t>
      </w:r>
      <w:r>
        <w:t xml:space="preserve"> </w:t>
      </w:r>
      <w:r>
        <w:t xml:space="preserve">Applicant: Odeyemi Olusegun Israel</w:t>
      </w:r>
    </w:p>
    <w:p>
      <w:pPr>
        <w:pStyle w:val="BodyText"/>
      </w:pPr>
      <w:r>
        <w:t xml:space="preserve">Evidence 4A: Academic Uptake in CPE 604</w:t>
      </w:r>
      <w:r>
        <w:t xml:space="preserve"> </w:t>
      </w:r>
      <w:r>
        <w:t xml:space="preserve">Teaching Materials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  <w:r>
        <w:t xml:space="preserve"> </w:t>
      </w:r>
      <w:r>
        <w:t xml:space="preserve">Dr Sunday Adeola Ajagbe — Top 2% of World Scientists 2025 (Stanford University an-</w:t>
      </w:r>
      <w:r>
        <w:t xml:space="preserve"> </w:t>
      </w:r>
      <w:r>
        <w:t xml:space="preserve">nual citation impact study), Senior Lecturer at Abiola Ajimobi Technical University, Research</w:t>
      </w:r>
      <w:r>
        <w:t xml:space="preserve"> </w:t>
      </w:r>
      <w:r>
        <w:t xml:space="preserve">Associate at the University of Zululand — independently selected three papers I wrote as re-</w:t>
      </w:r>
      <w:r>
        <w:t xml:space="preserve"> </w:t>
      </w:r>
      <w:r>
        <w:t xml:space="preserve">quired reading for his postgraduate course CPE 604: Techniques in Machine Learning</w:t>
      </w:r>
      <w:r>
        <w:t xml:space="preserve"> </w:t>
      </w:r>
      <w:r>
        <w:t xml:space="preserve">for Low-Resource Languages.</w:t>
      </w:r>
      <w:r>
        <w:t xml:space="preserve"> </w:t>
      </w:r>
      <w:r>
        <w:t xml:space="preserve">There was no prior relationship. The papers were not submitted for review. Dr Ajagbe</w:t>
      </w:r>
      <w:r>
        <w:t xml:space="preserve"> </w:t>
      </w:r>
      <w:r>
        <w:t xml:space="preserve">discovered them independently, evaluated them on academic merit, and formally incorporated</w:t>
      </w:r>
      <w:r>
        <w:t xml:space="preserve"> </w:t>
      </w:r>
      <w:r>
        <w:t xml:space="preserve">them into an accredited syllabus. The evidence is independently verifiable: the course slide</w:t>
      </w:r>
      <w:r>
        <w:t xml:space="preserve"> </w:t>
      </w:r>
      <w:r>
        <w:t xml:space="preserve">deck, institutional logo, course title, and paper DOIs are submitted as exhibits alongside Dr</w:t>
      </w:r>
      <w:r>
        <w:t xml:space="preserve"> </w:t>
      </w:r>
      <w:r>
        <w:t xml:space="preserve">Ajagbe’s signed reference letter.</w:t>
      </w:r>
    </w:p>
    <w:p>
      <w:pPr>
        <w:pStyle w:val="FirstParagraph"/>
      </w:pPr>
      <w:r>
        <w:t xml:space="preserve">Figure 1: CPE 604 lecture slide open in PowerPoint Online, displaying the official Abiola Aji-</w:t>
      </w:r>
      <w:r>
        <w:t xml:space="preserve"> </w:t>
      </w:r>
      <w:r>
        <w:t xml:space="preserve">mobi Technical University logo and course title. This confirms an active, accredited postgraduate</w:t>
      </w:r>
      <w:r>
        <w:t xml:space="preserve"> </w:t>
      </w:r>
      <w:r>
        <w:t xml:space="preserve">programme — not a private reading list or informal recommendation.</w:t>
      </w:r>
    </w:p>
    <w:p>
      <w:pPr>
        <w:numPr>
          <w:ilvl w:val="0"/>
          <w:numId w:val="1002"/>
        </w:numPr>
      </w:pPr>
      <w:r>
        <w:t xml:space="preserve">Recommended Reading Evidence</w:t>
      </w:r>
      <w:r>
        <w:t xml:space="preserve"> </w:t>
      </w:r>
      <w:r>
        <w:t xml:space="preserve">The final slide of the CPE 604 lecture deck (Slide 8 of 8) lists the following works under</w:t>
      </w:r>
      <w:r>
        <w:t xml:space="preserve"> </w:t>
      </w:r>
      <w:r>
        <w:t xml:space="preserve">Recommended Readings, alongside established peer-reviewed papers in the field: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1</w:t>
      </w:r>
    </w:p>
    <w:p>
      <w:pPr>
        <w:numPr>
          <w:ilvl w:val="0"/>
          <w:numId w:val="1000"/>
        </w:numPr>
      </w:pPr>
      <w:r>
        <w:t xml:space="preserve">  Odeyemi, O. (2026). Universal Deviation Principle: A Multi-Operator Framework for</w:t>
      </w:r>
      <w:r>
        <w:t xml:space="preserve"> </w:t>
      </w:r>
      <w:r>
        <w:t xml:space="preserve">Anomaly Detection and Classification with Sensitivity Guarantees. Zenodo. 10.5281/zen-</w:t>
      </w:r>
      <w:r>
        <w:t xml:space="preserve"> </w:t>
      </w:r>
      <w:r>
        <w:t xml:space="preserve">odo.19037688</w:t>
      </w:r>
    </w:p>
    <w:p>
      <w:pPr>
        <w:numPr>
          <w:ilvl w:val="0"/>
          <w:numId w:val="1000"/>
        </w:numPr>
      </w:pPr>
      <w:r>
        <w:t xml:space="preserve"> Odeyemi, O. (2026). Blind-Spot Decomposition and the Geometry of System Collapse.</w:t>
      </w:r>
      <w:r>
        <w:t xml:space="preserve"> </w:t>
      </w:r>
      <w:r>
        <w:t xml:space="preserve">Zenodo. 10.5281/zenodo.19038783</w:t>
      </w:r>
    </w:p>
    <w:p>
      <w:pPr>
        <w:numPr>
          <w:ilvl w:val="0"/>
          <w:numId w:val="1000"/>
        </w:numPr>
      </w:pPr>
      <w:r>
        <w:t xml:space="preserve"> Odeyemi, O. (2026). AMTTP: A Four-Layer Architecture for Deterministic Compliance</w:t>
      </w:r>
      <w:r>
        <w:t xml:space="preserve"> </w:t>
      </w:r>
      <w:r>
        <w:t xml:space="preserve">Enforcement in Institutional DeFi. TechRxiv. 10.36227/techrxiv.177220113.33816607/v1</w:t>
      </w:r>
    </w:p>
    <w:p>
      <w:pPr>
        <w:pStyle w:val="FirstParagraph"/>
      </w:pPr>
      <w:r>
        <w:t xml:space="preserve">Figure 2: CPE 604 lecture deck, final slide (Slide 8 of 8) — Recommended Readings list. Three</w:t>
      </w:r>
      <w:r>
        <w:t xml:space="preserve"> </w:t>
      </w:r>
      <w:r>
        <w:t xml:space="preserve">of my publications appear alongside established peer-reviewed papers (Bojar et al. 2018, Nekoto</w:t>
      </w:r>
      <w:r>
        <w:t xml:space="preserve"> </w:t>
      </w:r>
      <w:r>
        <w:t xml:space="preserve">et al. 2020, Artetxe et al. 2019) at positions 1, 3, and 7 in the list. The placement confirms</w:t>
      </w:r>
      <w:r>
        <w:t xml:space="preserve"> </w:t>
      </w:r>
      <w:r>
        <w:t xml:space="preserve">these were evaluated on their academic merit, not included as a courtesy.</w:t>
      </w:r>
    </w:p>
    <w:p>
      <w:pPr>
        <w:numPr>
          <w:ilvl w:val="0"/>
          <w:numId w:val="1003"/>
        </w:numPr>
      </w:pPr>
      <w:r>
        <w:t xml:space="preserve">Cross-Domain Academic Relevance</w:t>
      </w:r>
      <w:r>
        <w:t xml:space="preserve"> </w:t>
      </w:r>
      <w:r>
        <w:t xml:space="preserve">CPE 604 focuses on machine learning for low-resource natural languages — an application do-</w:t>
      </w:r>
      <w:r>
        <w:t xml:space="preserve"> </w:t>
      </w:r>
      <w:r>
        <w:t xml:space="preserve">main separate from financial compliance. Dr Ajagbe selected these papers on their mathematical</w:t>
      </w:r>
      <w:r>
        <w:t xml:space="preserve"> </w:t>
      </w:r>
      <w:r>
        <w:t xml:space="preserve">content: BSDT and UDP are generalisable frameworks applicable wherever AI models exhibit</w:t>
      </w:r>
      <w:r>
        <w:t xml:space="preserve"> </w:t>
      </w:r>
      <w:r>
        <w:t xml:space="preserve">systematic blind spots, and their inclusion in a language-technology course independently sup-</w:t>
      </w:r>
      <w:r>
        <w:t xml:space="preserve"> </w:t>
      </w:r>
      <w:r>
        <w:t xml:space="preserve">ports that claim. These papers appear alongside established peer-reviewed work by Bojar et</w:t>
      </w:r>
      <w:r>
        <w:t xml:space="preserve"> </w:t>
      </w:r>
      <w:r>
        <w:t xml:space="preserve">al. (2018) and Nekoto et al. (2020) — researchers with institutional affiliations and established</w:t>
      </w:r>
      <w:r>
        <w:t xml:space="preserve"> </w:t>
      </w:r>
      <w:r>
        <w:t xml:space="preserve">citation records. The placement was based on merit and made without prior contact with the</w:t>
      </w:r>
      <w:r>
        <w:t xml:space="preserve"> </w:t>
      </w:r>
      <w:r>
        <w:t xml:space="preserve">author.</w:t>
      </w:r>
    </w:p>
    <w:p>
      <w:pPr>
        <w:numPr>
          <w:ilvl w:val="0"/>
          <w:numId w:val="1003"/>
        </w:numPr>
      </w:pPr>
      <w:r>
        <w:t xml:space="preserve">Academic Significance</w:t>
      </w:r>
      <w:r>
        <w:t xml:space="preserve"> </w:t>
      </w:r>
      <w:r>
        <w:t xml:space="preserve">A senior academic included work produced by someone with no institutional affiliation, no</w:t>
      </w:r>
      <w:r>
        <w:t xml:space="preserve"> </w:t>
      </w:r>
      <w:r>
        <w:t xml:space="preserve">prior relationship, and no presence in the course’s subject area in an accredited postgraduate</w:t>
      </w:r>
      <w:r>
        <w:t xml:space="preserve"> </w:t>
      </w:r>
      <w:r>
        <w:t xml:space="preserve">syllabus. The subject distance makes the evidence stronger: CPE 604 teaches machine learning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2</w:t>
      </w:r>
    </w:p>
    <w:p>
      <w:pPr>
        <w:numPr>
          <w:ilvl w:val="0"/>
          <w:numId w:val="1000"/>
        </w:numPr>
      </w:pPr>
      <w:r>
        <w:t xml:space="preserve">for low-resource natural languages — entirely separate from financial compliance. Dr Ajagbe</w:t>
      </w:r>
      <w:r>
        <w:t xml:space="preserve"> </w:t>
      </w:r>
      <w:r>
        <w:t xml:space="preserve">selected these papers on their mathematical content.</w:t>
      </w:r>
      <w:r>
        <w:t xml:space="preserve"> </w:t>
      </w:r>
      <w:r>
        <w:t xml:space="preserve">My papers appear on the final slide alongside established peer-reviewed work by Bojar et al.</w:t>
      </w:r>
    </w:p>
    <w:p>
      <w:pPr>
        <w:numPr>
          <w:ilvl w:val="0"/>
          <w:numId w:val="1004"/>
        </w:numPr>
      </w:pPr>
      <w:r>
        <w:t xml:space="preserve">and Nekoto et al. (2020) — researchers with institutional affiliations and citation records.</w:t>
      </w:r>
      <w:r>
        <w:t xml:space="preserve"> </w:t>
      </w:r>
      <w:r>
        <w:t xml:space="preserve">The placement was based on merit. Dr Ajagbe independently judged my research suitable for</w:t>
      </w:r>
      <w:r>
        <w:t xml:space="preserve"> </w:t>
      </w:r>
      <w:r>
        <w:t xml:space="preserve">formal postgraduate teaching.</w:t>
      </w:r>
      <w:r>
        <w:t xml:space="preserve"> </w:t>
      </w:r>
      <w:r>
        <w:t xml:space="preserve">Supporting materials: Signed reference letter from Dr Ajagbe · CPE 604 lecture handout ·</w:t>
      </w:r>
      <w:r>
        <w:t xml:space="preserve"> </w:t>
      </w:r>
      <w:r>
        <w:t xml:space="preserve">CPE 604 lecture slides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3</w:t>
      </w:r>
    </w:p>
    <w:p>
      <w:pPr>
        <w:numPr>
          <w:ilvl w:val="0"/>
          <w:numId w:val="1000"/>
        </w:numPr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2018">
    <w:nsid w:val="A99432018"/>
    <w:multiLevelType w:val="multilevel"/>
    <w:lvl w:ilvl="0">
      <w:start w:val="2018"/>
      <w:numFmt w:val="decimal"/>
      <w:lvlText w:val="(%1)"/>
      <w:lvlJc w:val="left"/>
      <w:pPr>
        <w:ind w:left="720" w:hanging="360"/>
      </w:pPr>
    </w:lvl>
    <w:lvl w:ilvl="1">
      <w:start w:val="2018"/>
      <w:numFmt w:val="decimal"/>
      <w:lvlText w:val="(%2)"/>
      <w:lvlJc w:val="left"/>
      <w:pPr>
        <w:ind w:left="1440" w:hanging="360"/>
      </w:pPr>
    </w:lvl>
    <w:lvl w:ilvl="2">
      <w:start w:val="2018"/>
      <w:numFmt w:val="decimal"/>
      <w:lvlText w:val="(%3)"/>
      <w:lvlJc w:val="left"/>
      <w:pPr>
        <w:ind w:left="2160" w:hanging="360"/>
      </w:pPr>
    </w:lvl>
    <w:lvl w:ilvl="3">
      <w:start w:val="2018"/>
      <w:numFmt w:val="decimal"/>
      <w:lvlText w:val="(%4)"/>
      <w:lvlJc w:val="left"/>
      <w:pPr>
        <w:ind w:left="2880" w:hanging="360"/>
      </w:pPr>
    </w:lvl>
    <w:lvl w:ilvl="4">
      <w:start w:val="2018"/>
      <w:numFmt w:val="decimal"/>
      <w:lvlText w:val="(%5)"/>
      <w:lvlJc w:val="left"/>
      <w:pPr>
        <w:ind w:left="3600" w:hanging="360"/>
      </w:pPr>
    </w:lvl>
    <w:lvl w:ilvl="5">
      <w:start w:val="2018"/>
      <w:numFmt w:val="decimal"/>
      <w:lvlText w:val="(%6)"/>
      <w:lvlJc w:val="left"/>
      <w:pPr>
        <w:ind w:left="4320" w:hanging="360"/>
      </w:pPr>
    </w:lvl>
    <w:lvl w:ilvl="6">
      <w:start w:val="2018"/>
      <w:numFmt w:val="decimal"/>
      <w:lvlText w:val="(%7)"/>
      <w:lvlJc w:val="left"/>
      <w:pPr>
        <w:ind w:left="5040" w:hanging="360"/>
      </w:pPr>
    </w:lvl>
    <w:lvl w:ilvl="7">
      <w:start w:val="2018"/>
      <w:numFmt w:val="decimal"/>
      <w:lvlText w:val="(%8)"/>
      <w:lvlJc w:val="left"/>
      <w:pPr>
        <w:ind w:left="5760" w:hanging="360"/>
      </w:pPr>
    </w:lvl>
    <w:lvl w:ilvl="8">
      <w:start w:val="2018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2018"/>
    <w:lvlOverride w:ilvl="0">
      <w:startOverride w:val="2018"/>
    </w:lvlOverride>
    <w:lvlOverride w:ilvl="1">
      <w:startOverride w:val="2018"/>
    </w:lvlOverride>
    <w:lvlOverride w:ilvl="2">
      <w:startOverride w:val="2018"/>
    </w:lvlOverride>
    <w:lvlOverride w:ilvl="3">
      <w:startOverride w:val="2018"/>
    </w:lvlOverride>
    <w:lvlOverride w:ilvl="4">
      <w:startOverride w:val="2018"/>
    </w:lvlOverride>
    <w:lvlOverride w:ilvl="5">
      <w:startOverride w:val="2018"/>
    </w:lvlOverride>
    <w:lvlOverride w:ilvl="6">
      <w:startOverride w:val="2018"/>
    </w:lvlOverride>
    <w:lvlOverride w:ilvl="7">
      <w:startOverride w:val="2018"/>
    </w:lvlOverride>
    <w:lvlOverride w:ilvl="8">
      <w:startOverride w:val="20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2026-05-12T15:18:20Z</dcterms:created>
  <dcterms:modified xsi:type="dcterms:W3CDTF">2026-05-12T15:18:20Z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