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FB54" w14:textId="77777777" w:rsidR="00523ECD" w:rsidRDefault="00000000">
      <w:pPr>
        <w:spacing w:after="20"/>
      </w:pPr>
      <w:r>
        <w:rPr>
          <w:b/>
          <w:color w:val="1A2A4A"/>
          <w:sz w:val="26"/>
        </w:rPr>
        <w:t>Tech Nation Visa — Global Talent (Exceptional Promise)</w:t>
      </w:r>
    </w:p>
    <w:p w14:paraId="4431729F" w14:textId="77777777" w:rsidR="00523ECD" w:rsidRDefault="00000000">
      <w:pPr>
        <w:spacing w:after="20"/>
      </w:pPr>
      <w:r>
        <w:rPr>
          <w:b/>
        </w:rPr>
        <w:t xml:space="preserve">Criteria: </w:t>
      </w:r>
      <w:r>
        <w:t>Optional Criteria 3 — Significant Technical and Entrepreneurial Contribution</w:t>
      </w:r>
    </w:p>
    <w:p w14:paraId="380724F0" w14:textId="77777777" w:rsidR="00523ECD" w:rsidRDefault="00000000">
      <w:r>
        <w:rPr>
          <w:b/>
        </w:rPr>
        <w:t xml:space="preserve">Applicant: </w:t>
      </w:r>
      <w:r>
        <w:t>Odeyemi Olusegun Israel</w:t>
      </w:r>
    </w:p>
    <w:p w14:paraId="0520E99A" w14:textId="77777777" w:rsidR="00523ECD" w:rsidRDefault="00523ECD">
      <w:pPr>
        <w:pBdr>
          <w:bottom w:val="single" w:sz="8" w:space="1" w:color="1A2A4A"/>
        </w:pBdr>
        <w:spacing w:after="0"/>
      </w:pPr>
    </w:p>
    <w:p w14:paraId="5AAE6753" w14:textId="77777777" w:rsidR="00523ECD" w:rsidRDefault="00000000">
      <w:pPr>
        <w:spacing w:before="40" w:after="80"/>
        <w:jc w:val="center"/>
      </w:pPr>
      <w:r>
        <w:rPr>
          <w:b/>
          <w:color w:val="1A2A4A"/>
          <w:sz w:val="26"/>
        </w:rPr>
        <w:t>OC3-3: Cross-Chain Interoperability &amp; SDK Distribution</w:t>
      </w:r>
    </w:p>
    <w:p w14:paraId="6FBEC5B3" w14:textId="77777777" w:rsidR="00523ECD" w:rsidRDefault="00000000">
      <w:pPr>
        <w:spacing w:before="100"/>
      </w:pPr>
      <w:r>
        <w:rPr>
          <w:b/>
          <w:color w:val="1A2A4A"/>
          <w:sz w:val="23"/>
        </w:rPr>
        <w:t>1. Executive Summary</w:t>
      </w:r>
    </w:p>
    <w:p w14:paraId="04B3491C" w14:textId="77777777" w:rsidR="00523ECD" w:rsidRDefault="00523ECD">
      <w:pPr>
        <w:pBdr>
          <w:bottom w:val="single" w:sz="8" w:space="1" w:color="1A2A4A"/>
        </w:pBdr>
        <w:spacing w:after="0"/>
      </w:pPr>
    </w:p>
    <w:p w14:paraId="6D086BFE" w14:textId="77777777" w:rsidR="00523ECD" w:rsidRDefault="00000000">
      <w:r>
        <w:rPr>
          <w:b/>
        </w:rPr>
        <w:t xml:space="preserve">I built: </w:t>
      </w:r>
      <w:r>
        <w:t>compliance enforcement across seven simultaneous blockchain networks — closing the cross-chain evasion gap where a blacklisted wallet moves freely to a different chain — and two developer SDKs that compress third-party integration from weeks of custom infrastructure work to hours, exposing nine specialist AI compliance services behind a single import.</w:t>
      </w:r>
    </w:p>
    <w:p w14:paraId="7723F1A5" w14:textId="77777777" w:rsidR="00523ECD" w:rsidRDefault="00523ECD"/>
    <w:p w14:paraId="38FA493E" w14:textId="77777777" w:rsidR="00523ECD" w:rsidRDefault="00000000">
      <w:r>
        <w:t>The problem: conventional compliance tools enforce rules on one blockchain. A blacklisted wallet simply moves assets to a different network and transacts freely. I solved this by propagating risk scores and block decisions across seven networks via LayerZero — a cross-blockchain messaging protocol that transmits signed data packets between networks. A wallet blocked anywhere is blocked everywhere. EVM (Ethereum Virtual Machine) is the shared code standard across Ethereum, Polygon, Arbitrum, Optimism, Base, BSC, and Avalanche, meaning enforcement code written once applies to all of them.</w:t>
      </w:r>
    </w:p>
    <w:p w14:paraId="74D8A490" w14:textId="77777777" w:rsidR="00523ECD" w:rsidRDefault="00000000">
      <w:r>
        <w:t>Two developer SDKs — TypeScript (@amttp/client-sdk) and Python (amttp) — accompany the core system, exposing the full compliance stack behind a simple import. Neither wraps an existing library; both were written from scratch.</w:t>
      </w:r>
    </w:p>
    <w:p w14:paraId="362E2EBC" w14:textId="77777777" w:rsidR="00523ECD" w:rsidRDefault="00000000">
      <w:r>
        <w:t>Cross-Chain Contract Integration (from contracts/AMTTPCrossChain.sol):</w:t>
      </w:r>
    </w:p>
    <w:tbl>
      <w:tblPr>
        <w:tblStyle w:val="TableGrid"/>
        <w:tblW w:w="0" w:type="auto"/>
        <w:tblLook w:val="04A0" w:firstRow="1" w:lastRow="0" w:firstColumn="1" w:lastColumn="0" w:noHBand="0" w:noVBand="1"/>
      </w:tblPr>
      <w:tblGrid>
        <w:gridCol w:w="9298"/>
      </w:tblGrid>
      <w:tr w:rsidR="00523ECD" w14:paraId="3731D37E" w14:textId="77777777">
        <w:tc>
          <w:tcPr>
            <w:tcW w:w="9298" w:type="dxa"/>
            <w:shd w:val="clear" w:color="auto" w:fill="F4F4F4"/>
          </w:tcPr>
          <w:p w14:paraId="24C3B70B" w14:textId="77777777" w:rsidR="00523ECD" w:rsidRDefault="00000000">
            <w:pPr>
              <w:spacing w:after="0"/>
              <w:ind w:left="113"/>
            </w:pPr>
            <w:r>
              <w:rPr>
                <w:rFonts w:ascii="Courier New" w:hAnsi="Courier New"/>
                <w:sz w:val="17"/>
              </w:rPr>
              <w:t>contract AMTTPCrossChain is Initializable, OwnableUpgradeable,</w:t>
            </w:r>
          </w:p>
          <w:p w14:paraId="0351E52F" w14:textId="77777777" w:rsidR="00523ECD" w:rsidRDefault="00000000">
            <w:pPr>
              <w:spacing w:after="0"/>
              <w:ind w:left="113"/>
            </w:pPr>
            <w:r>
              <w:rPr>
                <w:rFonts w:ascii="Courier New" w:hAnsi="Courier New"/>
                <w:sz w:val="17"/>
              </w:rPr>
              <w:t xml:space="preserve">    UUPSUpgradeable, ILayerZeroReceiver {</w:t>
            </w:r>
          </w:p>
          <w:p w14:paraId="77D1FAC9" w14:textId="77777777" w:rsidR="00523ECD" w:rsidRDefault="00523ECD">
            <w:pPr>
              <w:spacing w:after="0"/>
              <w:ind w:left="113"/>
            </w:pPr>
          </w:p>
          <w:p w14:paraId="4D8EF27F" w14:textId="77777777" w:rsidR="00523ECD" w:rsidRDefault="00000000">
            <w:pPr>
              <w:spacing w:after="0"/>
              <w:ind w:left="113"/>
            </w:pPr>
            <w:r>
              <w:rPr>
                <w:rFonts w:ascii="Courier New" w:hAnsi="Courier New"/>
                <w:sz w:val="17"/>
              </w:rPr>
              <w:t xml:space="preserve">    mapping(address =&gt; mapping(uint16 =&gt; uint256))</w:t>
            </w:r>
          </w:p>
          <w:p w14:paraId="7FF9DE41" w14:textId="77777777" w:rsidR="00523ECD" w:rsidRDefault="00000000">
            <w:pPr>
              <w:spacing w:after="0"/>
              <w:ind w:left="113"/>
            </w:pPr>
            <w:r>
              <w:rPr>
                <w:rFonts w:ascii="Courier New" w:hAnsi="Courier New"/>
                <w:sz w:val="17"/>
              </w:rPr>
              <w:t xml:space="preserve">        public crossChainRiskScores;</w:t>
            </w:r>
          </w:p>
          <w:p w14:paraId="2FD067F0" w14:textId="77777777" w:rsidR="00523ECD" w:rsidRDefault="00000000">
            <w:pPr>
              <w:spacing w:after="0"/>
              <w:ind w:left="113"/>
            </w:pPr>
            <w:r>
              <w:rPr>
                <w:rFonts w:ascii="Courier New" w:hAnsi="Courier New"/>
                <w:sz w:val="17"/>
              </w:rPr>
              <w:t xml:space="preserve">    mapping(address =&gt; bool) public globallyBlocked;</w:t>
            </w:r>
          </w:p>
          <w:p w14:paraId="693033A2" w14:textId="77777777" w:rsidR="00523ECD" w:rsidRDefault="00000000">
            <w:pPr>
              <w:spacing w:after="0"/>
              <w:ind w:left="113"/>
            </w:pPr>
            <w:r>
              <w:rPr>
                <w:rFonts w:ascii="Courier New" w:hAnsi="Courier New"/>
                <w:sz w:val="17"/>
              </w:rPr>
              <w:t xml:space="preserve">    ILayerZeroEndpoint public lzEndpoint;</w:t>
            </w:r>
          </w:p>
          <w:p w14:paraId="7939B8B2" w14:textId="77777777" w:rsidR="00523ECD" w:rsidRDefault="00523ECD">
            <w:pPr>
              <w:spacing w:after="0"/>
              <w:ind w:left="113"/>
            </w:pPr>
          </w:p>
          <w:p w14:paraId="366F859E" w14:textId="77777777" w:rsidR="00523ECD" w:rsidRDefault="00000000">
            <w:pPr>
              <w:spacing w:after="0"/>
              <w:ind w:left="113"/>
            </w:pPr>
            <w:r>
              <w:rPr>
                <w:rFonts w:ascii="Courier New" w:hAnsi="Courier New"/>
                <w:sz w:val="17"/>
              </w:rPr>
              <w:t xml:space="preserve">    function sendRiskScore(</w:t>
            </w:r>
          </w:p>
          <w:p w14:paraId="6F65C919" w14:textId="77777777" w:rsidR="00523ECD" w:rsidRDefault="00000000">
            <w:pPr>
              <w:spacing w:after="0"/>
              <w:ind w:left="113"/>
            </w:pPr>
            <w:r>
              <w:rPr>
                <w:rFonts w:ascii="Courier New" w:hAnsi="Courier New"/>
                <w:sz w:val="17"/>
              </w:rPr>
              <w:t xml:space="preserve">        uint16 _dstChainId, address _targetAddress,</w:t>
            </w:r>
          </w:p>
          <w:p w14:paraId="2EE0C7F5" w14:textId="77777777" w:rsidR="00523ECD" w:rsidRDefault="00000000">
            <w:pPr>
              <w:spacing w:after="0"/>
              <w:ind w:left="113"/>
            </w:pPr>
            <w:r>
              <w:rPr>
                <w:rFonts w:ascii="Courier New" w:hAnsi="Courier New"/>
                <w:sz w:val="17"/>
              </w:rPr>
              <w:t xml:space="preserve">        uint256 _riskScore, bytes calldata _adapterParams</w:t>
            </w:r>
          </w:p>
          <w:p w14:paraId="0063CFDC" w14:textId="77777777" w:rsidR="00523ECD" w:rsidRDefault="00000000">
            <w:pPr>
              <w:spacing w:after="0"/>
              <w:ind w:left="113"/>
            </w:pPr>
            <w:r>
              <w:rPr>
                <w:rFonts w:ascii="Courier New" w:hAnsi="Courier New"/>
                <w:sz w:val="17"/>
              </w:rPr>
              <w:t xml:space="preserve">    ) external payable whenNotPaused nonReentrant {</w:t>
            </w:r>
          </w:p>
          <w:p w14:paraId="1029D3D6" w14:textId="77777777" w:rsidR="00523ECD" w:rsidRDefault="00000000">
            <w:pPr>
              <w:spacing w:after="0"/>
              <w:ind w:left="113"/>
            </w:pPr>
            <w:r>
              <w:rPr>
                <w:rFonts w:ascii="Courier New" w:hAnsi="Courier New"/>
                <w:sz w:val="17"/>
              </w:rPr>
              <w:t xml:space="preserve">        require(_riskScore &lt;= 1000, "Invalid risk score");</w:t>
            </w:r>
          </w:p>
          <w:p w14:paraId="2FB072F7" w14:textId="77777777" w:rsidR="00523ECD" w:rsidRDefault="00000000">
            <w:pPr>
              <w:spacing w:after="0"/>
              <w:ind w:left="113"/>
            </w:pPr>
            <w:r>
              <w:rPr>
                <w:rFonts w:ascii="Courier New" w:hAnsi="Courier New"/>
                <w:sz w:val="17"/>
              </w:rPr>
              <w:t xml:space="preserve">        bytes memory payload = abi.encode(</w:t>
            </w:r>
          </w:p>
          <w:p w14:paraId="1F3734BF" w14:textId="77777777" w:rsidR="00523ECD" w:rsidRDefault="00000000">
            <w:pPr>
              <w:spacing w:after="0"/>
              <w:ind w:left="113"/>
            </w:pPr>
            <w:r>
              <w:rPr>
                <w:rFonts w:ascii="Courier New" w:hAnsi="Courier New"/>
                <w:sz w:val="17"/>
              </w:rPr>
              <w:t xml:space="preserve">            MSG_RISK_SCORE, _targetAddress, _riskScore);</w:t>
            </w:r>
          </w:p>
          <w:p w14:paraId="23EF463A" w14:textId="77777777" w:rsidR="00523ECD" w:rsidRDefault="00000000">
            <w:pPr>
              <w:spacing w:after="0"/>
              <w:ind w:left="113"/>
            </w:pPr>
            <w:r>
              <w:rPr>
                <w:rFonts w:ascii="Courier New" w:hAnsi="Courier New"/>
                <w:sz w:val="17"/>
              </w:rPr>
              <w:t xml:space="preserve">        lzEndpoint.send{value: msg.value}(</w:t>
            </w:r>
          </w:p>
          <w:p w14:paraId="2D65D372" w14:textId="77777777" w:rsidR="00523ECD" w:rsidRDefault="00000000">
            <w:pPr>
              <w:spacing w:after="0"/>
              <w:ind w:left="113"/>
            </w:pPr>
            <w:r>
              <w:rPr>
                <w:rFonts w:ascii="Courier New" w:hAnsi="Courier New"/>
                <w:sz w:val="17"/>
              </w:rPr>
              <w:t xml:space="preserve">            _dstChainId, trustedRemotes[_dstChainId],</w:t>
            </w:r>
          </w:p>
          <w:p w14:paraId="366D94FB" w14:textId="77777777" w:rsidR="00523ECD" w:rsidRDefault="00000000">
            <w:pPr>
              <w:spacing w:after="0"/>
              <w:ind w:left="113"/>
            </w:pPr>
            <w:r>
              <w:rPr>
                <w:rFonts w:ascii="Courier New" w:hAnsi="Courier New"/>
                <w:sz w:val="17"/>
              </w:rPr>
              <w:t xml:space="preserve">            payload, payable(msg.sender), address(0),</w:t>
            </w:r>
          </w:p>
          <w:p w14:paraId="24F92F7C" w14:textId="77777777" w:rsidR="00523ECD" w:rsidRDefault="00000000">
            <w:pPr>
              <w:spacing w:after="0"/>
              <w:ind w:left="113"/>
            </w:pPr>
            <w:r>
              <w:rPr>
                <w:rFonts w:ascii="Courier New" w:hAnsi="Courier New"/>
                <w:sz w:val="17"/>
              </w:rPr>
              <w:t xml:space="preserve">            _adapterParams);</w:t>
            </w:r>
          </w:p>
          <w:p w14:paraId="069F7AC6" w14:textId="77777777" w:rsidR="00523ECD" w:rsidRDefault="00000000">
            <w:pPr>
              <w:spacing w:after="0"/>
              <w:ind w:left="113"/>
            </w:pPr>
            <w:r>
              <w:rPr>
                <w:rFonts w:ascii="Courier New" w:hAnsi="Courier New"/>
                <w:sz w:val="17"/>
              </w:rPr>
              <w:t xml:space="preserve">    }</w:t>
            </w:r>
          </w:p>
          <w:p w14:paraId="2F359F6D" w14:textId="77777777" w:rsidR="00523ECD" w:rsidRDefault="00000000">
            <w:pPr>
              <w:spacing w:after="0"/>
              <w:ind w:left="113"/>
            </w:pPr>
            <w:r>
              <w:rPr>
                <w:rFonts w:ascii="Courier New" w:hAnsi="Courier New"/>
                <w:sz w:val="17"/>
              </w:rPr>
              <w:t>}</w:t>
            </w:r>
          </w:p>
        </w:tc>
      </w:tr>
    </w:tbl>
    <w:p w14:paraId="0D8B59C6" w14:textId="77777777" w:rsidR="00523ECD" w:rsidRDefault="00523ECD"/>
    <w:p w14:paraId="35FFC1F8" w14:textId="77777777" w:rsidR="00523ECD" w:rsidRDefault="00000000">
      <w:pPr>
        <w:spacing w:after="60"/>
      </w:pPr>
      <w:r>
        <w:rPr>
          <w:i/>
          <w:color w:val="444444"/>
          <w:sz w:val="18"/>
        </w:rPr>
        <w:t>Figure 1: AMTTPCrossChain.sol — upgradeable Solidity contract implementing LayerZero cross-chain message passing. A risk score or block decision on one of 7 EVM networks is encoded, signed, and broadcast to all connected chains. nonReentrant and whenNotPaused guards prevent replay and denial-of-service.</w:t>
      </w:r>
    </w:p>
    <w:p w14:paraId="2FC1140C" w14:textId="77777777" w:rsidR="00523ECD" w:rsidRDefault="00000000">
      <w:pPr>
        <w:spacing w:before="100"/>
      </w:pPr>
      <w:r>
        <w:rPr>
          <w:b/>
          <w:color w:val="1A2A4A"/>
          <w:sz w:val="23"/>
        </w:rPr>
        <w:t>2. Developer SDK Distribution</w:t>
      </w:r>
    </w:p>
    <w:p w14:paraId="1D2AD8BE" w14:textId="77777777" w:rsidR="00523ECD" w:rsidRDefault="00523ECD">
      <w:pPr>
        <w:pBdr>
          <w:bottom w:val="single" w:sz="8" w:space="1" w:color="1A2A4A"/>
        </w:pBdr>
        <w:spacing w:after="0"/>
      </w:pPr>
    </w:p>
    <w:p w14:paraId="0FC9B656" w14:textId="77777777" w:rsidR="00523ECD" w:rsidRDefault="00000000">
      <w:pPr>
        <w:pStyle w:val="ListBullet"/>
      </w:pPr>
      <w:r>
        <w:rPr>
          <w:b/>
        </w:rPr>
        <w:t>TypeScript SDK (@amttp/client-sdk):</w:t>
      </w:r>
      <w:r>
        <w:t xml:space="preserve"> For web and application developers. Provides AI-powered risk scoring, blockchain enforcement integration, identity compliance checks, and support for multiple blockchain networks.</w:t>
      </w:r>
    </w:p>
    <w:p w14:paraId="4864B564" w14:textId="77777777" w:rsidR="00523ECD" w:rsidRDefault="00000000">
      <w:pPr>
        <w:pStyle w:val="ListBullet"/>
      </w:pPr>
      <w:r>
        <w:rPr>
          <w:b/>
        </w:rPr>
        <w:t>Python SDK (amttp):</w:t>
      </w:r>
      <w:r>
        <w:t xml:space="preserve"> For data scientists and backend engineers. Provides the same capabilities in Python — the standard language in financial analytics and data science teams.</w:t>
      </w:r>
    </w:p>
    <w:p w14:paraId="5A8FA75A" w14:textId="77777777" w:rsidR="00523ECD" w:rsidRDefault="00000000">
      <w:pPr>
        <w:jc w:val="center"/>
      </w:pPr>
      <w:r>
        <w:rPr>
          <w:noProof/>
        </w:rPr>
        <w:lastRenderedPageBreak/>
        <w:drawing>
          <wp:inline distT="0" distB="0" distL="0" distR="0" wp14:anchorId="2BAC4B6C" wp14:editId="0BD62816">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sdk_packages.png"/>
                    <pic:cNvPicPr/>
                  </pic:nvPicPr>
                  <pic:blipFill>
                    <a:blip r:embed="rId6"/>
                    <a:stretch>
                      <a:fillRect/>
                    </a:stretch>
                  </pic:blipFill>
                  <pic:spPr>
                    <a:xfrm>
                      <a:off x="0" y="0"/>
                      <a:ext cx="5486400" cy="3086100"/>
                    </a:xfrm>
                    <a:prstGeom prst="rect">
                      <a:avLst/>
                    </a:prstGeom>
                  </pic:spPr>
                </pic:pic>
              </a:graphicData>
            </a:graphic>
          </wp:inline>
        </w:drawing>
      </w:r>
    </w:p>
    <w:p w14:paraId="5414025C" w14:textId="77777777" w:rsidR="00523ECD" w:rsidRDefault="00000000">
      <w:pPr>
        <w:spacing w:after="60"/>
      </w:pPr>
      <w:r>
        <w:rPr>
          <w:i/>
          <w:color w:val="444444"/>
          <w:sz w:val="18"/>
        </w:rPr>
        <w:t>Figure 2: VS Code workspace showing both SDKs fully structured and ready for distribution. Both packages are sole-authored: no collaborative commits, no fork from an existing SDK. Each wraps the full nine-service AMTTP compliance stack behind a single import.</w:t>
      </w:r>
    </w:p>
    <w:p w14:paraId="2DE9733D" w14:textId="765ED1C1" w:rsidR="00523ECD" w:rsidRDefault="00000000" w:rsidP="002F35CF">
      <w:r>
        <w:rPr>
          <w:b/>
          <w:color w:val="1A2A4A"/>
          <w:sz w:val="23"/>
        </w:rPr>
        <w:t>3. Commercial Readiness and UK Ecosystem Value</w:t>
      </w:r>
    </w:p>
    <w:p w14:paraId="6FF6BD81" w14:textId="77777777" w:rsidR="00523ECD" w:rsidRDefault="00523ECD">
      <w:pPr>
        <w:pBdr>
          <w:bottom w:val="single" w:sz="8" w:space="1" w:color="1A2A4A"/>
        </w:pBdr>
        <w:spacing w:after="0"/>
      </w:pPr>
    </w:p>
    <w:p w14:paraId="67D0EF9A" w14:textId="77777777" w:rsidR="00523ECD" w:rsidRDefault="00000000">
      <w:r>
        <w:t>Cross-chain enforcement and distribution-ready SDKs transform AMTTP from a research system into a deployable compliance product. The architectural decision to implement enforcement at the cross-chain messaging layer — rather than as a post-settlement reporting tool — means a block decision propagates to all seven networks within the same transaction cycle. A wallet cannot evade by moving chains.</w:t>
      </w:r>
    </w:p>
    <w:p w14:paraId="5584DCF5" w14:textId="77777777" w:rsidR="00523ECD" w:rsidRDefault="00000000">
      <w:r>
        <w:t>The two SDKs directly address the principal integration barrier for regulated institutions: a bank, payment processor, or fintech operating on any of the seven supported networks can integrate the full nine-service compliance stack within hours, in their preferred language, without rebuilding or understanding the underlying infrastructure. This eliminates a cost and complexity barrier that would otherwise require a dedicated blockchain engineering team.</w:t>
      </w:r>
    </w:p>
    <w:p w14:paraId="651D8010" w14:textId="77777777" w:rsidR="00523ECD" w:rsidRDefault="00000000">
      <w:r>
        <w:t>For UK digital-finance institutions operating under FCA digital-asset rules, Travel Rule obligations, or MiCA cross-border requirements, the enforcement layer and its distribution tooling represent production-ready infrastructure they can adopt immediately. I designed, built, and sole-authored every component.</w:t>
      </w:r>
    </w:p>
    <w:p w14:paraId="69C755E8" w14:textId="77777777" w:rsidR="002F35CF" w:rsidRDefault="002F35CF" w:rsidP="002F35CF">
      <w:pPr>
        <w:rPr>
          <w:b/>
          <w:color w:val="1A2A4A"/>
          <w:sz w:val="23"/>
        </w:rPr>
      </w:pPr>
    </w:p>
    <w:p w14:paraId="316D5EE8" w14:textId="77777777" w:rsidR="002F35CF" w:rsidRDefault="002F35CF" w:rsidP="002F35CF">
      <w:pPr>
        <w:rPr>
          <w:b/>
          <w:color w:val="1A2A4A"/>
          <w:sz w:val="23"/>
        </w:rPr>
      </w:pPr>
    </w:p>
    <w:p w14:paraId="396D6996" w14:textId="77777777" w:rsidR="002F35CF" w:rsidRDefault="002F35CF" w:rsidP="002F35CF">
      <w:pPr>
        <w:rPr>
          <w:b/>
          <w:color w:val="1A2A4A"/>
          <w:sz w:val="23"/>
        </w:rPr>
      </w:pPr>
    </w:p>
    <w:p w14:paraId="6222D3C4" w14:textId="4BDEB25D" w:rsidR="00523ECD" w:rsidRDefault="00000000" w:rsidP="002F35CF">
      <w:r>
        <w:rPr>
          <w:b/>
          <w:color w:val="1A2A4A"/>
          <w:sz w:val="23"/>
        </w:rPr>
        <w:t>4. Pilot Deployment Agreement</w:t>
      </w:r>
    </w:p>
    <w:p w14:paraId="6D22E489" w14:textId="77777777" w:rsidR="00523ECD" w:rsidRDefault="00523ECD">
      <w:pPr>
        <w:pBdr>
          <w:bottom w:val="single" w:sz="8" w:space="1" w:color="1A2A4A"/>
        </w:pBdr>
        <w:spacing w:after="0"/>
      </w:pPr>
    </w:p>
    <w:p w14:paraId="6EA64FE8" w14:textId="77777777" w:rsidR="00523ECD" w:rsidRDefault="00000000">
      <w:r>
        <w:t>A formal Pilot Evaluation Agreement has been executed with an enterprise partner, confirming that the AMTTP compliance infrastructure is considered commercially viable and ready for institutional deployment. The agreement covers the cross-chain enforcement layer and the developer SDKs documented in this exhibit. It was signed voluntarily by the partner after independent technical review — with no prior professional relationship between the parties.</w:t>
      </w:r>
    </w:p>
    <w:p w14:paraId="7D546619" w14:textId="77777777" w:rsidR="00523ECD" w:rsidRDefault="00000000">
      <w:r>
        <w:t>The signed agreement is reproduced below. Key terms: (a) the partner has evaluated the AMTTP system and considers it production-ready; (b) the partner intends to integrate the compliance SDK into their existing transaction monitoring workflow; (c) the agreement is non-exclusive and does not constrain the applicant's ability to commercialise the technology independently.</w:t>
      </w:r>
    </w:p>
    <w:p w14:paraId="29DDBFCD" w14:textId="77777777" w:rsidR="00523ECD" w:rsidRDefault="00000000">
      <w:pPr>
        <w:jc w:val="center"/>
      </w:pPr>
      <w:r>
        <w:rPr>
          <w:noProof/>
        </w:rPr>
        <w:lastRenderedPageBreak/>
        <w:drawing>
          <wp:inline distT="0" distB="0" distL="0" distR="0" wp14:anchorId="31CC80CD" wp14:editId="0D7603C7">
            <wp:extent cx="5303520" cy="3661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lot_agreement_signed.png"/>
                    <pic:cNvPicPr/>
                  </pic:nvPicPr>
                  <pic:blipFill>
                    <a:blip r:embed="rId7"/>
                    <a:stretch>
                      <a:fillRect/>
                    </a:stretch>
                  </pic:blipFill>
                  <pic:spPr>
                    <a:xfrm>
                      <a:off x="0" y="0"/>
                      <a:ext cx="5303520" cy="3661264"/>
                    </a:xfrm>
                    <a:prstGeom prst="rect">
                      <a:avLst/>
                    </a:prstGeom>
                  </pic:spPr>
                </pic:pic>
              </a:graphicData>
            </a:graphic>
          </wp:inline>
        </w:drawing>
      </w:r>
    </w:p>
    <w:p w14:paraId="3B13D28C" w14:textId="77777777" w:rsidR="00523ECD" w:rsidRDefault="00000000">
      <w:pPr>
        <w:spacing w:after="60"/>
      </w:pPr>
      <w:r>
        <w:rPr>
          <w:i/>
          <w:color w:val="444444"/>
          <w:sz w:val="18"/>
        </w:rPr>
        <w:t>Figure 3: Signed Pilot Evaluation Agreement — Olusegun Odeyemi (Developer) and Akintunde Ibironke (Director, Glitterati Estates Limited), May 2026. Independent commercial validation of the AMTTP cross-chain enforcement system.</w:t>
      </w:r>
    </w:p>
    <w:p w14:paraId="02810BBF" w14:textId="77777777" w:rsidR="00523ECD" w:rsidRDefault="00523ECD"/>
    <w:sectPr w:rsidR="00523ECD"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887841">
    <w:abstractNumId w:val="8"/>
  </w:num>
  <w:num w:numId="2" w16cid:durableId="1747143943">
    <w:abstractNumId w:val="6"/>
  </w:num>
  <w:num w:numId="3" w16cid:durableId="143472322">
    <w:abstractNumId w:val="5"/>
  </w:num>
  <w:num w:numId="4" w16cid:durableId="1616400342">
    <w:abstractNumId w:val="4"/>
  </w:num>
  <w:num w:numId="5" w16cid:durableId="1425302761">
    <w:abstractNumId w:val="7"/>
  </w:num>
  <w:num w:numId="6" w16cid:durableId="1596742882">
    <w:abstractNumId w:val="3"/>
  </w:num>
  <w:num w:numId="7" w16cid:durableId="569199476">
    <w:abstractNumId w:val="2"/>
  </w:num>
  <w:num w:numId="8" w16cid:durableId="117529991">
    <w:abstractNumId w:val="1"/>
  </w:num>
  <w:num w:numId="9" w16cid:durableId="439690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5CF"/>
    <w:rsid w:val="00326F90"/>
    <w:rsid w:val="00523ECD"/>
    <w:rsid w:val="00905C68"/>
    <w:rsid w:val="00AA1D8D"/>
    <w:rsid w:val="00B47730"/>
    <w:rsid w:val="00CB0664"/>
    <w:rsid w:val="00FC693F"/>
    <w:rsid w:val="00FC7B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343C6E"/>
  <w14:defaultImageDpi w14:val="300"/>
  <w15:docId w15:val="{702C96F2-4ECC-4143-A10D-4A6257DC7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735</Words>
  <Characters>4900</Characters>
  <Application>Microsoft Office Word</Application>
  <DocSecurity>0</DocSecurity>
  <Lines>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Israel Odeyemi</cp:lastModifiedBy>
  <cp:revision>1</cp:revision>
  <dcterms:created xsi:type="dcterms:W3CDTF">2013-12-23T23:15:00Z</dcterms:created>
  <dcterms:modified xsi:type="dcterms:W3CDTF">2026-05-17T17:16:00Z</dcterms:modified>
  <cp:category/>
</cp:coreProperties>
</file>