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3 — Supporting Technical Evidence</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OC3-4: Security Architecture &amp; Automated Smart Contract Auditing</w:t>
      </w:r>
    </w:p>
    <w:p>
      <w:r>
        <w:rPr>
          <w:b/>
        </w:rPr>
        <w:t xml:space="preserve">Executive Summary: </w:t>
      </w:r>
      <w:r>
        <w:t xml:space="preserve">I conducted a full institutional-grade security audit of all </w:t>
      </w:r>
      <w:r>
        <w:rPr>
          <w:b/>
        </w:rPr>
        <w:t>38 AMTTP smart contracts</w:t>
      </w:r>
      <w:r>
        <w:t>, using the same categories of tools used in professional blockchain audits.</w:t>
      </w:r>
    </w:p>
    <w:p>
      <w:pPr>
        <w:spacing w:after="40"/>
      </w:pPr>
      <w:r>
        <w:t>Smart contracts run on a public blockchain with no central server and limited room for delayed remediation: a code flaw can be exploited quickly and permanently recorded. The audit used three complementary methods: static vulnerability scanning (Slither, developed by Trail of Bits), adversarial fuzz testing with 50,000 random inputs (Echidna), and on-chain execution cost validation (Hardhat). Every artefact is independently reproducible from the public repository.</w:t>
      </w:r>
    </w:p>
    <w:p>
      <w:pPr>
        <w:spacing w:before="60" w:after="20"/>
      </w:pPr>
      <w:r>
        <w:rPr>
          <w:b/>
          <w:color w:val="1A2A4A"/>
          <w:sz w:val="19"/>
        </w:rPr>
        <w:t>1. Audit Scope and Tools</w:t>
      </w:r>
    </w:p>
    <w:p>
      <w:pPr>
        <w:spacing w:before="0" w:after="0"/>
        <w:pBdr>
          <w:bottom w:val="single" w:sz="8" w:space="1" w:color="1a2a4a"/>
        </w:pBdr>
      </w:pPr>
    </w:p>
    <w:p>
      <w:pPr>
        <w:spacing w:after="40"/>
      </w:pPr>
      <w:r>
        <w:t>The audit used three complementary methods across all 38 contracts: (1) Slither — the standard static analyser for blockchain contracts, developed by Trail of Bits — scanned every line of code for known vulnerability patterns; (2) Echidna generated 50,000 randomised adversarial transaction sequences of 100 steps each to confirm that critical access-control rules hold under attack conditions; and (3) Hardhat measured the on-chain computational cost of every contract operation, confirming production viability under Ethereum's network limits.</w:t>
      </w:r>
    </w:p>
    <w:p>
      <w:pPr>
        <w:spacing w:before="60" w:after="20"/>
      </w:pPr>
      <w:r>
        <w:rPr>
          <w:b/>
          <w:color w:val="1A2A4A"/>
          <w:sz w:val="19"/>
        </w:rPr>
        <w:t>2. Slither Static Analysis Findings</w:t>
      </w:r>
    </w:p>
    <w:p>
      <w:pPr>
        <w:spacing w:before="0" w:after="0"/>
        <w:pBdr>
          <w:bottom w:val="single" w:sz="8" w:space="1" w:color="1a2a4a"/>
        </w:pBdr>
      </w:pPr>
    </w:p>
    <w:p>
      <w:pPr>
        <w:spacing w:after="40"/>
      </w:pPr>
      <w:r>
        <w:t>Slither was run against all 38 original AMTTP contracts. Each finding was reviewed, severity-classified, and resolved before any contract was deployed.</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MockArbitrator.withdraw() sends eth to arbitrary user</w:t>
            </w:r>
          </w:p>
          <w:p>
            <w:pPr>
              <w:spacing w:after="0" w:before="0"/>
              <w:ind w:left="113"/>
            </w:pPr>
            <w:r>
              <w:rPr>
                <w:rFonts w:ascii="Courier New" w:hAnsi="Courier New"/>
                <w:sz w:val="14"/>
              </w:rPr>
              <w:t xml:space="preserve">   Dangerous calls: address(msg.sender).transfer(address(this).balance)</w:t>
            </w:r>
          </w:p>
          <w:p>
            <w:pPr>
              <w:spacing w:after="0" w:before="0"/>
              <w:ind w:left="113"/>
            </w:pPr>
            <w:r>
              <w:rPr>
                <w:rFonts w:ascii="Courier New" w:hAnsi="Courier New"/>
                <w:sz w:val="14"/>
              </w:rPr>
            </w:r>
          </w:p>
          <w:p>
            <w:pPr>
              <w:spacing w:after="0" w:before="0"/>
              <w:ind w:left="113"/>
            </w:pPr>
            <w:r>
              <w:rPr>
                <w:rFonts w:ascii="Courier New" w:hAnsi="Courier New"/>
                <w:sz w:val="14"/>
              </w:rPr>
              <w:t>Reentrancy in AMTTPDisputeResolver.challengeTransaction(bytes32):</w:t>
            </w:r>
          </w:p>
          <w:p>
            <w:pPr>
              <w:spacing w:after="0" w:before="0"/>
              <w:ind w:left="113"/>
            </w:pPr>
            <w:r>
              <w:rPr>
                <w:rFonts w:ascii="Courier New" w:hAnsi="Courier New"/>
                <w:sz w:val="14"/>
              </w:rPr>
              <w:t xml:space="preserve">   External calls:</w:t>
            </w:r>
          </w:p>
          <w:p>
            <w:pPr>
              <w:spacing w:after="0" w:before="0"/>
              <w:ind w:left="113"/>
            </w:pPr>
            <w:r>
              <w:rPr>
                <w:rFonts w:ascii="Courier New" w:hAnsi="Courier New"/>
                <w:sz w:val="14"/>
              </w:rPr>
              <w:t xml:space="preserve">   - disputeID = arbitrator.createDispute{value: arbitrationCost}(...)</w:t>
            </w:r>
          </w:p>
          <w:p>
            <w:pPr>
              <w:spacing w:after="0" w:before="0"/>
              <w:ind w:left="113"/>
            </w:pPr>
            <w:r>
              <w:rPr>
                <w:rFonts w:ascii="Courier New" w:hAnsi="Courier New"/>
                <w:sz w:val="14"/>
              </w:rPr>
              <w:t xml:space="preserve">   State variables written after the call(s):</w:t>
            </w:r>
          </w:p>
          <w:p>
            <w:pPr>
              <w:spacing w:after="0" w:before="0"/>
              <w:ind w:left="113"/>
            </w:pPr>
            <w:r>
              <w:rPr>
                <w:rFonts w:ascii="Courier New" w:hAnsi="Courier New"/>
                <w:sz w:val="14"/>
              </w:rPr>
              <w:t xml:space="preserve">   - escrow.status = EscrowStatus.Challenged</w:t>
            </w:r>
          </w:p>
          <w:p>
            <w:pPr>
              <w:spacing w:after="0" w:before="0"/>
              <w:ind w:left="113"/>
            </w:pPr>
            <w:r>
              <w:rPr>
                <w:rFonts w:ascii="Courier New" w:hAnsi="Courier New"/>
                <w:sz w:val="14"/>
              </w:rPr>
            </w:r>
          </w:p>
          <w:p>
            <w:pPr>
              <w:spacing w:after="0" w:before="0"/>
              <w:ind w:left="113"/>
            </w:pPr>
            <w:r>
              <w:rPr>
                <w:rFonts w:ascii="Courier New" w:hAnsi="Courier New"/>
                <w:sz w:val="14"/>
              </w:rPr>
              <w:t>AMTTPCore.initiateSwapERC20() ignores return value by</w:t>
            </w:r>
          </w:p>
          <w:p>
            <w:pPr>
              <w:spacing w:after="0" w:before="0"/>
              <w:ind w:left="113"/>
            </w:pPr>
            <w:r>
              <w:rPr>
                <w:rFonts w:ascii="Courier New" w:hAnsi="Courier New"/>
                <w:sz w:val="14"/>
              </w:rPr>
              <w:t xml:space="preserve">   IERC20(token).transferFrom(msg.sender, address(this), amount)</w:t>
            </w:r>
          </w:p>
          <w:p>
            <w:pPr>
              <w:spacing w:after="0" w:before="0"/>
              <w:ind w:left="113"/>
            </w:pPr>
            <w:r>
              <w:rPr>
                <w:rFonts w:ascii="Courier New" w:hAnsi="Courier New"/>
                <w:sz w:val="14"/>
              </w:rPr>
            </w:r>
          </w:p>
          <w:p>
            <w:pPr>
              <w:spacing w:after="0" w:before="0"/>
              <w:ind w:left="113"/>
            </w:pPr>
            <w:r>
              <w:rPr>
                <w:rFonts w:ascii="Courier New" w:hAnsi="Courier New"/>
                <w:sz w:val="14"/>
              </w:rPr>
              <w:t>AMTTP.completeSwap(bytes32,bytes32) ignores return value by</w:t>
            </w:r>
          </w:p>
          <w:p>
            <w:pPr>
              <w:spacing w:after="0" w:before="0"/>
              <w:ind w:left="113"/>
            </w:pPr>
            <w:r>
              <w:rPr>
                <w:rFonts w:ascii="Courier New" w:hAnsi="Courier New"/>
                <w:sz w:val="14"/>
              </w:rPr>
              <w:t xml:space="preserve">   IERC20(s.token).transfer(s.seller, s.amount)</w:t>
            </w:r>
          </w:p>
          <w:p>
            <w:pPr>
              <w:spacing w:after="0" w:before="0"/>
              <w:ind w:left="113"/>
            </w:pPr>
            <w:r>
              <w:rPr>
                <w:rFonts w:ascii="Courier New" w:hAnsi="Courier New"/>
                <w:sz w:val="14"/>
              </w:rPr>
            </w:r>
          </w:p>
          <w:p>
            <w:pPr>
              <w:spacing w:after="0" w:before="0"/>
              <w:ind w:left="113"/>
            </w:pPr>
            <w:r>
              <w:rPr>
                <w:rFonts w:ascii="Courier New" w:hAnsi="Courier New"/>
                <w:sz w:val="14"/>
              </w:rPr>
              <w:t>AMTTPBiconomyModule.riskCache is never initialized.</w:t>
            </w:r>
          </w:p>
        </w:tc>
      </w:tr>
    </w:tbl>
    <w:p/>
    <w:p>
      <w:pPr>
        <w:spacing w:after="20"/>
      </w:pPr>
      <w:r>
        <w:rPr>
          <w:i/>
          <w:color w:val="444444"/>
          <w:sz w:val="14"/>
        </w:rPr>
        <w:t>Figure 1: Actual Slither output from the AMTTP audit run (4 Jan 2026) across all 38 contracts. Each finding — reentrancy in AMTTPDisputeResolver, unchecked transfer return values, uninitialised riskCache — was reviewed, severity-classified, and resolved before mainnet deployment. The raw log is independently reproducible.</w:t>
      </w:r>
    </w:p>
    <w:p>
      <w:pPr>
        <w:spacing w:before="60" w:after="20"/>
      </w:pPr>
      <w:r>
        <w:rPr>
          <w:b/>
          <w:color w:val="1A2A4A"/>
          <w:sz w:val="19"/>
        </w:rPr>
        <w:t>3. Echidna Fuzz Testing (Property-Based Verification)</w:t>
      </w:r>
    </w:p>
    <w:p>
      <w:pPr>
        <w:spacing w:before="0" w:after="0"/>
        <w:pBdr>
          <w:bottom w:val="single" w:sz="8" w:space="1" w:color="1a2a4a"/>
        </w:pBdr>
      </w:pPr>
    </w:p>
    <w:p>
      <w:pPr>
        <w:spacing w:after="40"/>
      </w:pPr>
      <w:r>
        <w:t>Echidna is a professional security tool that generates thousands of random, unpredictable inputs to stress-test a system and find failure cases that structured tests would miss. Configured against the full AMTTP contract suite, it confirmed that critical access-control rules — such as "only an authorised source can submit a risk score" — hold under adversarial conditions. This level of property-based verification is normally commissioned from specialist security audit firms; the configuration and property definitions are in the public repository and independently reproducible.</w:t>
      </w:r>
    </w:p>
    <w:p>
      <w:r>
        <w:br w:type="page"/>
      </w:r>
    </w:p>
    <w:p>
      <w:pPr>
        <w:spacing w:after="40"/>
      </w:pPr>
      <w:r>
        <w:t>Verified Echidna configuration (audit/echidna.yaml):</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testMode: assertion</w:t>
            </w:r>
          </w:p>
          <w:p>
            <w:pPr>
              <w:spacing w:after="0" w:before="0"/>
              <w:ind w:left="113"/>
            </w:pPr>
            <w:r>
              <w:rPr>
                <w:rFonts w:ascii="Courier New" w:hAnsi="Courier New"/>
                <w:sz w:val="14"/>
              </w:rPr>
              <w:t>testLimit: 50000</w:t>
            </w:r>
          </w:p>
          <w:p>
            <w:pPr>
              <w:spacing w:after="0" w:before="0"/>
              <w:ind w:left="113"/>
            </w:pPr>
            <w:r>
              <w:rPr>
                <w:rFonts w:ascii="Courier New" w:hAnsi="Courier New"/>
                <w:sz w:val="14"/>
              </w:rPr>
              <w:t>seqLen: 100</w:t>
            </w:r>
          </w:p>
          <w:p>
            <w:pPr>
              <w:spacing w:after="0" w:before="0"/>
              <w:ind w:left="113"/>
            </w:pPr>
            <w:r>
              <w:rPr>
                <w:rFonts w:ascii="Courier New" w:hAnsi="Courier New"/>
                <w:sz w:val="14"/>
              </w:rPr>
              <w:t>shrinkLimit: 5000</w:t>
            </w:r>
          </w:p>
          <w:p>
            <w:pPr>
              <w:spacing w:after="0" w:before="0"/>
              <w:ind w:left="113"/>
            </w:pPr>
            <w:r>
              <w:rPr>
                <w:rFonts w:ascii="Courier New" w:hAnsi="Courier New"/>
                <w:sz w:val="14"/>
              </w:rPr>
              <w:t>corpusDir: "corpus"</w:t>
            </w:r>
          </w:p>
          <w:p>
            <w:pPr>
              <w:spacing w:after="0" w:before="0"/>
              <w:ind w:left="113"/>
            </w:pPr>
            <w:r>
              <w:rPr>
                <w:rFonts w:ascii="Courier New" w:hAnsi="Courier New"/>
                <w:sz w:val="14"/>
              </w:rPr>
              <w:t>coverage: true</w:t>
            </w:r>
          </w:p>
          <w:p>
            <w:pPr>
              <w:spacing w:after="0" w:before="0"/>
              <w:ind w:left="113"/>
            </w:pPr>
            <w:r>
              <w:rPr>
                <w:rFonts w:ascii="Courier New" w:hAnsi="Courier New"/>
                <w:sz w:val="14"/>
              </w:rPr>
              <w:t>workers: 4</w:t>
            </w:r>
          </w:p>
          <w:p>
            <w:pPr>
              <w:spacing w:after="0" w:before="0"/>
              <w:ind w:left="113"/>
            </w:pPr>
            <w:r>
              <w:rPr>
                <w:rFonts w:ascii="Courier New" w:hAnsi="Courier New"/>
                <w:sz w:val="14"/>
              </w:rPr>
              <w:t>deployer: "0x10000"</w:t>
            </w:r>
          </w:p>
          <w:p>
            <w:pPr>
              <w:spacing w:after="0" w:before="0"/>
              <w:ind w:left="113"/>
            </w:pPr>
            <w:r>
              <w:rPr>
                <w:rFonts w:ascii="Courier New" w:hAnsi="Courier New"/>
                <w:sz w:val="14"/>
              </w:rPr>
              <w:t>sender: ["0x10000", "0x20000", "0x30000"]</w:t>
            </w:r>
          </w:p>
        </w:tc>
      </w:tr>
    </w:tbl>
    <w:p/>
    <w:p>
      <w:pPr>
        <w:spacing w:after="20"/>
      </w:pPr>
      <w:r>
        <w:rPr>
          <w:i/>
          <w:color w:val="444444"/>
          <w:sz w:val="14"/>
        </w:rPr>
        <w:t>Figure 2: Echidna configuration — 50,000 test sequences of 100 steps each, 4 parallel workers, corpus-guided fuzzing with coverage tracking. This configuration matches professional audit-grade fuzz testing.</w:t>
      </w:r>
    </w:p>
    <w:p>
      <w:pPr>
        <w:spacing w:before="60" w:after="20"/>
      </w:pPr>
      <w:r>
        <w:rPr>
          <w:b/>
          <w:color w:val="1A2A4A"/>
          <w:sz w:val="19"/>
        </w:rPr>
        <w:t>4. Hardhat Integration Tests</w:t>
      </w:r>
    </w:p>
    <w:p>
      <w:pPr>
        <w:spacing w:before="0" w:after="0"/>
        <w:pBdr>
          <w:bottom w:val="single" w:sz="8" w:space="1" w:color="1a2a4a"/>
        </w:pBdr>
      </w:pP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vscode_hardhat_tests.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3: Hardhat test run — 74 Solidity files compiled, 8 integration tests passing in 13 seconds. Tests validate deployment, risk-score-based auto-approval, policy enforcement, and transfer limits. Of 74 files, 38 are original AMTTP contracts; the remainder are audited OpenZeppelin dependencies.</w:t>
      </w:r>
    </w:p>
    <w:p>
      <w:pPr>
        <w:spacing w:after="40"/>
      </w:pPr>
      <w:r>
        <w:t>Technical significance: Running Slither, Echidna, and Hardhat against a 38-contract suite — and resolving all findings before deployment — is a standard professional security practice. Performing this work independently demonstrates engineering discipline well beyond the threshold normally expected at the Exceptional Promise stage.</w:t>
      </w:r>
    </w:p>
    <w:p>
      <w:pPr>
        <w:spacing w:before="60" w:after="20"/>
      </w:pPr>
      <w:r>
        <w:rPr>
          <w:b/>
          <w:color w:val="1A2A4A"/>
          <w:sz w:val="19"/>
        </w:rPr>
        <w:t>5. Gas Validation Report</w:t>
      </w:r>
    </w:p>
    <w:p>
      <w:pPr>
        <w:spacing w:before="0" w:after="0"/>
        <w:pBdr>
          <w:bottom w:val="single" w:sz="8" w:space="1" w:color="1a2a4a"/>
        </w:pBdr>
      </w:pPr>
    </w:p>
    <w:p>
      <w:pPr>
        <w:spacing w:after="40"/>
      </w:pPr>
      <w:r>
        <w:t>On-chain execution cost — "gas" — is a hard constraint on contract viability. A contract that consumes more gas than the Ethereum block limit cannot execute; one that consumes excessive gas becomes economically unviable for users. Hardhat's gas reporter was run against the full AMTTP contract suite to confirm that every compliance operation executes within practical cost limits.</w:t>
      </w:r>
    </w:p>
    <w:p>
      <w:pPr>
        <w:jc w:val="center"/>
      </w:pPr>
      <w:r>
        <w:drawing>
          <wp:inline xmlns:a="http://schemas.openxmlformats.org/drawingml/2006/main" xmlns:pic="http://schemas.openxmlformats.org/drawingml/2006/picture">
            <wp:extent cx="4892040" cy="2751772"/>
            <wp:docPr id="2" name="Picture 2"/>
            <wp:cNvGraphicFramePr>
              <a:graphicFrameLocks noChangeAspect="1"/>
            </wp:cNvGraphicFramePr>
            <a:graphic>
              <a:graphicData uri="http://schemas.openxmlformats.org/drawingml/2006/picture">
                <pic:pic>
                  <pic:nvPicPr>
                    <pic:cNvPr id="0" name="gas_report.png"/>
                    <pic:cNvPicPr/>
                  </pic:nvPicPr>
                  <pic:blipFill>
                    <a:blip r:embed="rId10"/>
                    <a:stretch>
                      <a:fillRect/>
                    </a:stretch>
                  </pic:blipFill>
                  <pic:spPr>
                    <a:xfrm>
                      <a:off x="0" y="0"/>
                      <a:ext cx="4892040" cy="2751772"/>
                    </a:xfrm>
                    <a:prstGeom prst="rect"/>
                  </pic:spPr>
                </pic:pic>
              </a:graphicData>
            </a:graphic>
          </wp:inline>
        </w:drawing>
      </w:r>
    </w:p>
    <w:p>
      <w:pPr>
        <w:spacing w:after="20"/>
      </w:pPr>
      <w:r>
        <w:rPr>
          <w:i/>
          <w:color w:val="444444"/>
          <w:sz w:val="14"/>
        </w:rPr>
        <w:t>Figure 4: Hardhat Gas Reporter output — per-method and per-contract execution cost for the AMTTP contract suite. Key calls: validateTransaction (core enforcement), sendRiskScore (cross-chain propagation), verifyRiskProof (ZK verification). All operations confirmed within Ethereum mainnet block gas limits and economically viable at current ETH gas prices. Sole-authored, independently reproducible.</w:t>
      </w:r>
    </w:p>
    <w:p>
      <w:pPr>
        <w:spacing w:after="40"/>
      </w:pPr>
      <w:r>
        <w:t>Gas optimisation decisions: the UUPS upgradeable proxy pattern reduces deployment cost versus transparent proxies; the viaIR compiler setting (50 optimisation runs) minimises bytecode size; ZK proof verification is batched where possible to amortise the fixed overhead of the pairing check. All three decisions are documented in hardhat.config.cjs.</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