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3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05350" cy="561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61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52" w:after="0"/>
        <w:ind w:left="720" w:right="86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FACULTY OF TECHNOLOGY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DEPARTMENT OF ELECTRICAL AND ELECTRONIC ENGINEERING </w:t>
      </w:r>
    </w:p>
    <w:p>
      <w:pPr>
        <w:autoSpaceDN w:val="0"/>
        <w:tabs>
          <w:tab w:pos="5588" w:val="left"/>
          <w:tab w:pos="6248" w:val="left"/>
          <w:tab w:pos="7504" w:val="left"/>
        </w:tabs>
        <w:autoSpaceDE w:val="0"/>
        <w:widowControl/>
        <w:spacing w:line="252" w:lineRule="auto" w:before="180" w:after="0"/>
        <w:ind w:left="12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Prof. A. S. O. Ogunjuyigbe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 xml:space="preserve">Tel:+234(0)8023504826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B.Eng. [Ekpoma], M.Sc. [Lagos], D.Tech. [Pretoria]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Email: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2"/>
          <w:u w:val="single"/>
        </w:rPr>
        <w:hyperlink r:id="rId11" w:history="1">
          <w:r>
            <w:rPr>
              <w:rStyle w:val="Hyperlink"/>
            </w:rPr>
            <w:t xml:space="preserve">aogunjuyigbe@yahoo.com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Team Lead, Power Energy Machines and Drive Research Group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FF"/>
          <w:sz w:val="22"/>
          <w:u w:val="single"/>
        </w:rPr>
        <w:hyperlink r:id="rId12" w:history="1">
          <w:r>
            <w:rPr>
              <w:rStyle w:val="Hyperlink"/>
            </w:rPr>
            <w:t xml:space="preserve">a.ogunjuyigbe@ui.edu.ng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&amp; Provost, Postgraduate College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 March, 2026 </w:t>
      </w:r>
    </w:p>
    <w:p>
      <w:pPr>
        <w:autoSpaceDN w:val="0"/>
        <w:autoSpaceDE w:val="0"/>
        <w:widowControl/>
        <w:spacing w:line="250" w:lineRule="auto" w:before="870" w:after="0"/>
        <w:ind w:left="302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UK Visas &amp; Immigration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Talent Visa – Tech Nation (Digital Technology)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United Kingdom </w:t>
      </w:r>
    </w:p>
    <w:p>
      <w:pPr>
        <w:autoSpaceDN w:val="0"/>
        <w:autoSpaceDE w:val="0"/>
        <w:widowControl/>
        <w:spacing w:line="197" w:lineRule="auto" w:before="328" w:after="0"/>
        <w:ind w:left="0" w:right="411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To Whom It May Concern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9" w:lineRule="auto" w:before="328" w:after="0"/>
        <w:ind w:left="302" w:right="5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write to endorse Odeyemi Olusegun Israel for the UK Global Talent Visa under the Digital Technology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route. I am a Professor of Electrical and Electronic Engineering at the University of Ibadan, where I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currently serve as Provost of the Postgraduate School. My research spans power systems, computational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intelligence, and applied machine learning. I have mentored Olusegun for over 10 years and have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reviewed his technical work in detail. </w:t>
      </w:r>
    </w:p>
    <w:p>
      <w:pPr>
        <w:autoSpaceDN w:val="0"/>
        <w:autoSpaceDE w:val="0"/>
        <w:widowControl/>
        <w:spacing w:line="197" w:lineRule="auto" w:before="930" w:after="0"/>
        <w:ind w:left="30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6"/>
        </w:rPr>
        <w:t xml:space="preserve">AMTTP: A Production-Grade Compliance Platform Built by One Individual </w:t>
      </w:r>
    </w:p>
    <w:p>
      <w:pPr>
        <w:autoSpaceDN w:val="0"/>
        <w:autoSpaceDE w:val="0"/>
        <w:widowControl/>
        <w:spacing w:line="308" w:lineRule="exact" w:before="250" w:after="0"/>
        <w:ind w:left="302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Olusegun has designed and built the Anti-Money Laundering Transaction Trust Protocol (AMTTP), a highly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advanced, production-grade compliance platform at early deployment stage, developed entirely by one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individual. </w:t>
      </w:r>
    </w:p>
    <w:p>
      <w:pPr>
        <w:autoSpaceDN w:val="0"/>
        <w:autoSpaceDE w:val="0"/>
        <w:widowControl/>
        <w:spacing w:line="308" w:lineRule="exact" w:before="242" w:after="0"/>
        <w:ind w:left="3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The system comprises a four-layer architecture including client SDKs (TypeScript and Python, both open-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sourced), a compliance orchestration engine of seven parallel microservices, an ML training pipeline </w:t>
      </w:r>
      <w:r>
        <w:rPr>
          <w:rFonts w:ascii="Times" w:hAnsi="Times" w:eastAsia="Times"/>
          <w:b w:val="0"/>
          <w:i w:val="0"/>
          <w:color w:val="000000"/>
          <w:sz w:val="22"/>
        </w:rPr>
        <w:t>processing 2.64 million Ethereum transactions (achieving a production-level ROC-AUC of 0.9999998 in t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esting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environments), and 18 Solidity smart contracts deployed on Ethereum Sepolia. The entire stack operates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across 17 containerised microservices. </w:t>
      </w:r>
    </w:p>
    <w:p>
      <w:pPr>
        <w:autoSpaceDN w:val="0"/>
        <w:autoSpaceDE w:val="0"/>
        <w:widowControl/>
        <w:spacing w:line="262" w:lineRule="auto" w:before="328" w:after="0"/>
        <w:ind w:left="302" w:right="5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AMTTP is designed to address a key limitation in the blockchain compliance industry: most existing tools,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Chainalysis, Elliptic, and TRM Labs, primarily operate after a transaction has settled. In contrast,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AMTTP introduces a pre-settlement compliance architecture, where machine learning inference, graph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analysis, screening sanctions, and policy evaluation are performed within Ethereum’s 12-second block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window. This represents a meaningful advancement toward real-time, execution-aware compliance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systems. </w:t>
      </w:r>
    </w:p>
    <w:p>
      <w:pPr>
        <w:autoSpaceDN w:val="0"/>
        <w:autoSpaceDE w:val="0"/>
        <w:widowControl/>
        <w:spacing w:line="197" w:lineRule="auto" w:before="810" w:after="0"/>
        <w:ind w:left="0" w:right="481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22"/>
        </w:rPr>
        <w:t>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22"/>
        </w:rPr>
        <w:t>3</w:t>
      </w:r>
    </w:p>
    <w:p>
      <w:pPr>
        <w:sectPr>
          <w:pgSz w:w="12240" w:h="15840"/>
          <w:pgMar w:top="198" w:right="814" w:bottom="496" w:left="1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also developed zkNAF, a zero-knowledge proof framework (Groth16 ZK-SNARKs on BN254) that allows </w:t>
      </w:r>
      <w:r>
        <w:rPr>
          <w:rFonts w:ascii="Calibri" w:hAnsi="Calibri" w:eastAsia="Calibri"/>
          <w:b w:val="0"/>
          <w:i w:val="0"/>
          <w:color w:val="000000"/>
          <w:sz w:val="22"/>
        </w:rPr>
        <w:t>institutions to prove compliance facts—such as KYC validity, risk-score range, and sanctions non-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membership—without revealing sensitive personal data. This approach addresses the well-known tension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between data privacy regulations and AML requirements at a cryptographic level. </w:t>
      </w:r>
    </w:p>
    <w:p>
      <w:pPr>
        <w:autoSpaceDN w:val="0"/>
        <w:autoSpaceDE w:val="0"/>
        <w:widowControl/>
        <w:spacing w:line="254" w:lineRule="auto" w:before="330" w:after="0"/>
        <w:ind w:left="20" w:right="10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a university environment, a project of this scope would typically require a principal investigator,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multiple postdoctoral researchers, and a team of PhD students. Olusegun has designed and implemented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system independently. I have reviewed the GitHub repository, and there is no evidence of external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collaboration or outsourced development. </w:t>
      </w:r>
    </w:p>
    <w:p>
      <w:pPr>
        <w:autoSpaceDN w:val="0"/>
        <w:autoSpaceDE w:val="0"/>
        <w:widowControl/>
        <w:spacing w:line="197" w:lineRule="auto" w:before="930" w:after="0"/>
        <w:ind w:left="2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6"/>
        </w:rPr>
        <w:t xml:space="preserve">Blind-Spot Decomposition and System Analysis </w:t>
      </w:r>
    </w:p>
    <w:p>
      <w:pPr>
        <w:autoSpaceDN w:val="0"/>
        <w:autoSpaceDE w:val="0"/>
        <w:widowControl/>
        <w:spacing w:line="254" w:lineRule="auto" w:before="334" w:after="0"/>
        <w:ind w:left="2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Olusegun’s research papers on Blind Spot Decomposition Theory (BSDT) and the Universal Detection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Principle (UDP) demonstrate strong capability in anomaly detection. However, I particularly highlight 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work on Blind-Spot Decomposition and the Geometry of System Collapse, which aligns closely with my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expertise in power systems. </w:t>
      </w:r>
    </w:p>
    <w:p>
      <w:pPr>
        <w:autoSpaceDN w:val="0"/>
        <w:autoSpaceDE w:val="0"/>
        <w:widowControl/>
        <w:spacing w:line="245" w:lineRule="auto" w:before="328" w:after="0"/>
        <w:ind w:left="2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case of the February 2021 Winter Storm Uri event affecting the Texas ERCOT grid, his adaptive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friction framework, applied to dispatch data, achieves: </w:t>
      </w:r>
    </w:p>
    <w:p>
      <w:pPr>
        <w:autoSpaceDN w:val="0"/>
        <w:autoSpaceDE w:val="0"/>
        <w:widowControl/>
        <w:spacing w:line="250" w:lineRule="auto" w:before="566" w:after="0"/>
        <w:ind w:left="37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●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Detection approximately 72 hours before rolling blackouts began (AUC = 0.9997) </w:t>
      </w:r>
      <w:r>
        <w:rPr>
          <w:rFonts w:ascii="Calibri" w:hAnsi="Calibri" w:eastAsia="Calibri"/>
          <w:b w:val="0"/>
          <w:i w:val="0"/>
          <w:color w:val="000000"/>
          <w:sz w:val="22"/>
        </w:rPr>
        <w:t>●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reduction in peak capacity loss of up to 71% under adaptive control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●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Identification of gas supply chain disruption as the primary systemic vulnerability </w:t>
      </w:r>
    </w:p>
    <w:p>
      <w:pPr>
        <w:autoSpaceDN w:val="0"/>
        <w:autoSpaceDE w:val="0"/>
        <w:widowControl/>
        <w:spacing w:line="250" w:lineRule="auto" w:before="636" w:after="0"/>
        <w:ind w:left="20" w:right="10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aligns with findings from the subsequent FERC/NERC investigation, but notably, his framework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derives this insight mathematically in advance using system data alone. From a power systems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perspective, achieving this level of predictive accuracy with meaningful lead time is highly significant. </w:t>
      </w:r>
    </w:p>
    <w:p>
      <w:pPr>
        <w:autoSpaceDN w:val="0"/>
        <w:autoSpaceDE w:val="0"/>
        <w:widowControl/>
        <w:spacing w:line="245" w:lineRule="auto" w:before="328" w:after="0"/>
        <w:ind w:left="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More broadly, this work demonstrates his ability to translate theoretical models into practical, data-driven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systems—an ability that is clearly reflected in the design and implementation of AMTTP. </w:t>
      </w:r>
    </w:p>
    <w:p>
      <w:pPr>
        <w:autoSpaceDN w:val="0"/>
        <w:autoSpaceDE w:val="0"/>
        <w:widowControl/>
        <w:spacing w:line="197" w:lineRule="auto" w:before="926" w:after="0"/>
        <w:ind w:left="2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6"/>
        </w:rPr>
        <w:t xml:space="preserve">Relevance to UK and Future Potential </w:t>
      </w:r>
    </w:p>
    <w:p>
      <w:pPr>
        <w:autoSpaceDN w:val="0"/>
        <w:autoSpaceDE w:val="0"/>
        <w:widowControl/>
        <w:spacing w:line="247" w:lineRule="auto" w:before="338" w:after="0"/>
        <w:ind w:left="20" w:right="14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UK’s evolving regulatory landscape for digital assets, particularly under the FCA’s forthcoming crypto-</w:t>
      </w:r>
      <w:r>
        <w:rPr>
          <w:rFonts w:ascii="Calibri" w:hAnsi="Calibri" w:eastAsia="Calibri"/>
          <w:b w:val="0"/>
          <w:i w:val="0"/>
          <w:color w:val="000000"/>
          <w:sz w:val="22"/>
        </w:rPr>
        <w:t>asset framework, is expected to increase demand for infrastructure that supports real-time, execution-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aware compliance. AMTTP’s architecture is well aligned with these emerging needs. </w:t>
      </w:r>
    </w:p>
    <w:p>
      <w:pPr>
        <w:autoSpaceDN w:val="0"/>
        <w:autoSpaceDE w:val="0"/>
        <w:widowControl/>
        <w:spacing w:line="304" w:lineRule="exact" w:before="252" w:after="0"/>
        <w:ind w:left="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While the platform is currently at an early deployment stage, its technical depth, system completeness, and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performance characteristics indicate strong potential for real-world deployment within institutional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blockchain and compliance environments in the UK. </w:t>
      </w:r>
    </w:p>
    <w:p>
      <w:pPr>
        <w:autoSpaceDN w:val="0"/>
        <w:autoSpaceDE w:val="0"/>
        <w:widowControl/>
        <w:spacing w:line="197" w:lineRule="auto" w:before="770" w:after="0"/>
        <w:ind w:left="0" w:right="433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22"/>
        </w:rPr>
        <w:t>2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22"/>
        </w:rPr>
        <w:t>3</w:t>
      </w:r>
    </w:p>
    <w:p>
      <w:pPr>
        <w:sectPr>
          <w:pgSz w:w="12240" w:h="15840"/>
          <w:pgMar w:top="220" w:right="1292" w:bottom="496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28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addition, Olusegun’s interdisciplinary work—spanning blockchain systems, machine learning,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applied mathematics—aligns with UK priorities in financial technology, infrastructure resilience,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advanced computational research. </w:t>
      </w:r>
    </w:p>
    <w:p>
      <w:pPr>
        <w:autoSpaceDN w:val="0"/>
        <w:autoSpaceDE w:val="0"/>
        <w:widowControl/>
        <w:spacing w:line="197" w:lineRule="auto" w:before="926" w:after="0"/>
        <w:ind w:left="2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6"/>
        </w:rPr>
        <w:t xml:space="preserve">Final Recommendation </w:t>
      </w:r>
    </w:p>
    <w:p>
      <w:pPr>
        <w:autoSpaceDN w:val="0"/>
        <w:autoSpaceDE w:val="0"/>
        <w:widowControl/>
        <w:spacing w:line="259" w:lineRule="auto" w:before="33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my years at the University of Ibadan, I have mentored hundreds of engineers. Olusegun’s engineering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capability and systems-level thinking place him among the most capable individuals I have encountered.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demonstrates the rare ability to design and implement complex, interdisciplinary systems from first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principles across machine learning, blockchain, cryptography, and applied mathematics, entirely without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institutional support. </w:t>
      </w:r>
    </w:p>
    <w:p>
      <w:pPr>
        <w:autoSpaceDN w:val="0"/>
        <w:autoSpaceDE w:val="0"/>
        <w:widowControl/>
        <w:spacing w:line="245" w:lineRule="auto" w:before="326" w:after="0"/>
        <w:ind w:left="28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believe he represents a strong example of emerging technical leadership, with clear potential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contribute meaningfully to the UK’s digital technology ecosystem. </w:t>
      </w:r>
    </w:p>
    <w:p>
      <w:pPr>
        <w:autoSpaceDN w:val="0"/>
        <w:autoSpaceDE w:val="0"/>
        <w:widowControl/>
        <w:spacing w:line="245" w:lineRule="auto" w:before="330" w:after="0"/>
        <w:ind w:left="2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 recommend him for the Global Talent Visa under the Exceptional Promise category without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reservation. </w:t>
      </w:r>
    </w:p>
    <w:p>
      <w:pPr>
        <w:autoSpaceDN w:val="0"/>
        <w:autoSpaceDE w:val="0"/>
        <w:widowControl/>
        <w:spacing w:line="230" w:lineRule="auto" w:before="84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Yours sincerely </w:t>
      </w:r>
    </w:p>
    <w:p>
      <w:pPr>
        <w:autoSpaceDN w:val="0"/>
        <w:autoSpaceDE w:val="0"/>
        <w:widowControl/>
        <w:spacing w:line="240" w:lineRule="auto" w:before="154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71980" cy="548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54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96" w:val="left"/>
        </w:tabs>
        <w:autoSpaceDE w:val="0"/>
        <w:widowControl/>
        <w:spacing w:line="245" w:lineRule="auto" w:before="16" w:after="0"/>
        <w:ind w:left="28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A. S. O. Ogunjuyigbe.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fspsp, PhD, MNSE, R. Eng. MIEEE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Professor of Electrical Power and Energy Conversion Systems,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Team Lead, Power Energy Machines and Drive Research Group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&amp;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Provost, Postgraduate College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University of Ibadan </w:t>
      </w:r>
      <w:r>
        <w:br/>
      </w:r>
      <w:r>
        <w:rPr>
          <w:rFonts w:ascii="Times New Roman" w:hAnsi="Times New Roman" w:eastAsia="Times New Roman"/>
          <w:b w:val="0"/>
          <w:i w:val="0"/>
          <w:color w:val="0000FF"/>
          <w:sz w:val="22"/>
        </w:rPr>
        <w:t xml:space="preserve">https://scholar.google.com/citations?user=bdeBzQQAAAAJ&amp;hl=en </w:t>
      </w:r>
    </w:p>
    <w:p>
      <w:pPr>
        <w:autoSpaceDN w:val="0"/>
        <w:autoSpaceDE w:val="0"/>
        <w:widowControl/>
        <w:spacing w:line="197" w:lineRule="auto" w:before="47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22"/>
        </w:rPr>
        <w:t>3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22"/>
        </w:rPr>
        <w:t>3</w:t>
      </w:r>
    </w:p>
    <w:sectPr w:rsidR="00FC693F" w:rsidRPr="0006063C" w:rsidSect="00034616">
      <w:pgSz w:w="12240" w:h="15840"/>
      <w:pgMar w:top="220" w:right="1390" w:bottom="496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Tel:+234(0)8023504826" TargetMode="External"/><Relationship Id="rId11" Type="http://schemas.openxmlformats.org/officeDocument/2006/relationships/hyperlink" Target="mailto:aogunjuyigbe@yahoo.com" TargetMode="External"/><Relationship Id="rId12" Type="http://schemas.openxmlformats.org/officeDocument/2006/relationships/hyperlink" Target="mailto:a.ogunjuyigbe@ui.edu.ng" TargetMode="Externa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