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646C" w14:textId="77777777" w:rsidR="00863D87" w:rsidRDefault="00863D87" w:rsidP="00C60516">
      <w:pPr>
        <w:autoSpaceDE w:val="0"/>
        <w:autoSpaceDN w:val="0"/>
        <w:spacing w:after="246" w:line="220" w:lineRule="exact"/>
        <w:jc w:val="center"/>
      </w:pPr>
    </w:p>
    <w:p w14:paraId="59477081" w14:textId="78E7234E" w:rsidR="00C60516" w:rsidRDefault="00C60516" w:rsidP="00C60516">
      <w:pPr>
        <w:tabs>
          <w:tab w:val="left" w:pos="6128"/>
        </w:tabs>
        <w:autoSpaceDE w:val="0"/>
        <w:autoSpaceDN w:val="0"/>
        <w:spacing w:before="32" w:after="0" w:line="256" w:lineRule="exact"/>
        <w:ind w:left="4"/>
        <w:jc w:val="center"/>
        <w:rPr>
          <w:rFonts w:ascii="CMBX12" w:eastAsia="CMBX12" w:hAnsi="CMBX12"/>
          <w:b/>
          <w:color w:val="000000"/>
          <w:w w:val="98"/>
          <w:sz w:val="29"/>
        </w:rPr>
      </w:pPr>
      <w:proofErr w:type="spellStart"/>
      <w:r>
        <w:rPr>
          <w:rFonts w:ascii="CMBX12" w:eastAsia="CMBX12" w:hAnsi="CMBX12"/>
          <w:b/>
          <w:color w:val="000000"/>
          <w:w w:val="98"/>
          <w:sz w:val="29"/>
        </w:rPr>
        <w:t>TechNationVisa-ExceptionalPromise</w:t>
      </w:r>
      <w:proofErr w:type="spellEnd"/>
    </w:p>
    <w:p w14:paraId="4DBB9D2C" w14:textId="2C58D9AE" w:rsidR="00C60516" w:rsidRDefault="00C60516" w:rsidP="00C60516">
      <w:pPr>
        <w:tabs>
          <w:tab w:val="left" w:pos="6128"/>
        </w:tabs>
        <w:autoSpaceDE w:val="0"/>
        <w:autoSpaceDN w:val="0"/>
        <w:spacing w:before="32" w:after="0" w:line="256" w:lineRule="exact"/>
        <w:ind w:left="4"/>
        <w:jc w:val="center"/>
        <w:rPr>
          <w:rFonts w:ascii="CMR10" w:eastAsia="CMR10" w:hAnsi="CMR10"/>
          <w:color w:val="000000"/>
        </w:rPr>
      </w:pPr>
      <w:r>
        <w:rPr>
          <w:rFonts w:ascii="CMBX10" w:eastAsia="CMBX10" w:hAnsi="CMBX10"/>
          <w:b/>
          <w:color w:val="000000"/>
        </w:rPr>
        <w:t xml:space="preserve">Applicant: </w:t>
      </w:r>
      <w:proofErr w:type="spellStart"/>
      <w:r>
        <w:rPr>
          <w:rFonts w:ascii="CMR10" w:eastAsia="CMR10" w:hAnsi="CMR10"/>
          <w:color w:val="000000"/>
        </w:rPr>
        <w:t>OdeyemiOlusegunIsrael</w:t>
      </w:r>
      <w:proofErr w:type="spellEnd"/>
      <w:r>
        <w:rPr>
          <w:rFonts w:ascii="CMR10" w:eastAsia="CMR10" w:hAnsi="CMR10"/>
          <w:color w:val="000000"/>
        </w:rPr>
        <w:t xml:space="preserve"> </w:t>
      </w:r>
    </w:p>
    <w:p w14:paraId="69215D26" w14:textId="00FAB0AF" w:rsidR="00C60516" w:rsidRPr="00C60516" w:rsidRDefault="00C60516" w:rsidP="00C60516">
      <w:pPr>
        <w:tabs>
          <w:tab w:val="left" w:pos="6128"/>
        </w:tabs>
        <w:autoSpaceDE w:val="0"/>
        <w:autoSpaceDN w:val="0"/>
        <w:spacing w:before="32" w:after="0" w:line="256" w:lineRule="exact"/>
        <w:ind w:left="4"/>
        <w:jc w:val="center"/>
        <w:rPr>
          <w:rFonts w:ascii="CMBX10" w:eastAsia="CMBX10" w:hAnsi="CMBX10"/>
          <w:b/>
          <w:color w:val="000000"/>
        </w:rPr>
      </w:pPr>
      <w:r>
        <w:rPr>
          <w:rFonts w:ascii="CMBX10" w:eastAsia="CMBX10" w:hAnsi="CMBX10"/>
          <w:b/>
          <w:color w:val="000000"/>
        </w:rPr>
        <w:t xml:space="preserve">Criteria: </w:t>
      </w:r>
      <w:proofErr w:type="spellStart"/>
      <w:proofErr w:type="gramStart"/>
      <w:r>
        <w:rPr>
          <w:rFonts w:ascii="CMR10" w:eastAsia="CMR10" w:hAnsi="CMR10"/>
          <w:color w:val="000000"/>
        </w:rPr>
        <w:t>MandatoryCriteria</w:t>
      </w:r>
      <w:proofErr w:type="spellEnd"/>
      <w:r>
        <w:rPr>
          <w:rFonts w:ascii="CMR10" w:eastAsia="CMR10" w:hAnsi="CMR10"/>
          <w:color w:val="000000"/>
        </w:rPr>
        <w:t>(</w:t>
      </w:r>
      <w:proofErr w:type="spellStart"/>
      <w:proofErr w:type="gramEnd"/>
      <w:r>
        <w:rPr>
          <w:rFonts w:ascii="CMR10" w:eastAsia="CMR10" w:hAnsi="CMR10"/>
          <w:color w:val="000000"/>
        </w:rPr>
        <w:t>InnovationandTechnicalLeadership</w:t>
      </w:r>
      <w:proofErr w:type="spellEnd"/>
      <w:r>
        <w:rPr>
          <w:rFonts w:ascii="CMR10" w:eastAsia="CMR10" w:hAnsi="CMR10"/>
          <w:color w:val="000000"/>
        </w:rPr>
        <w:t>)</w:t>
      </w:r>
    </w:p>
    <w:p w14:paraId="3FFF5804" w14:textId="77777777" w:rsidR="00C60516" w:rsidRDefault="00C60516">
      <w:pPr>
        <w:autoSpaceDE w:val="0"/>
        <w:autoSpaceDN w:val="0"/>
        <w:spacing w:before="676" w:after="0" w:line="272" w:lineRule="exact"/>
        <w:ind w:left="576" w:right="576"/>
        <w:jc w:val="center"/>
      </w:pPr>
      <w:r>
        <w:rPr>
          <w:rFonts w:ascii="CMBX12" w:eastAsia="CMBX12" w:hAnsi="CMBX12"/>
          <w:b/>
          <w:color w:val="000000"/>
          <w:sz w:val="24"/>
        </w:rPr>
        <w:t>MC-</w:t>
      </w:r>
      <w:proofErr w:type="gramStart"/>
      <w:r>
        <w:rPr>
          <w:rFonts w:ascii="CMBX12" w:eastAsia="CMBX12" w:hAnsi="CMBX12"/>
          <w:b/>
          <w:color w:val="000000"/>
          <w:sz w:val="24"/>
        </w:rPr>
        <w:t>1:DesignandDevelopmentofAMTTP</w:t>
      </w:r>
      <w:proofErr w:type="gramEnd"/>
      <w:r>
        <w:rPr>
          <w:rFonts w:ascii="CMBX12" w:eastAsia="CMBX12" w:hAnsi="CMBX12"/>
          <w:b/>
          <w:color w:val="000000"/>
          <w:sz w:val="24"/>
        </w:rPr>
        <w:t>—</w:t>
      </w:r>
      <w:proofErr w:type="spellStart"/>
      <w:r>
        <w:rPr>
          <w:rFonts w:ascii="CMBX12" w:eastAsia="CMBX12" w:hAnsi="CMBX12"/>
          <w:b/>
          <w:color w:val="000000"/>
          <w:sz w:val="24"/>
        </w:rPr>
        <w:t>AFour</w:t>
      </w:r>
      <w:proofErr w:type="spellEnd"/>
      <w:r>
        <w:rPr>
          <w:rFonts w:ascii="CMBX12" w:eastAsia="CMBX12" w:hAnsi="CMBX12"/>
          <w:b/>
          <w:color w:val="000000"/>
          <w:sz w:val="24"/>
        </w:rPr>
        <w:t>-</w:t>
      </w:r>
      <w:proofErr w:type="spellStart"/>
      <w:r>
        <w:rPr>
          <w:rFonts w:ascii="CMBX12" w:eastAsia="CMBX12" w:hAnsi="CMBX12"/>
          <w:b/>
          <w:color w:val="000000"/>
          <w:sz w:val="24"/>
        </w:rPr>
        <w:t>LayerReal</w:t>
      </w:r>
      <w:proofErr w:type="spellEnd"/>
      <w:r>
        <w:rPr>
          <w:rFonts w:ascii="CMBX12" w:eastAsia="CMBX12" w:hAnsi="CMBX12"/>
          <w:b/>
          <w:color w:val="000000"/>
          <w:sz w:val="24"/>
        </w:rPr>
        <w:t xml:space="preserve">-Time </w:t>
      </w:r>
      <w:proofErr w:type="spellStart"/>
      <w:r>
        <w:rPr>
          <w:rFonts w:ascii="CMBX12" w:eastAsia="CMBX12" w:hAnsi="CMBX12"/>
          <w:b/>
          <w:color w:val="000000"/>
          <w:sz w:val="24"/>
        </w:rPr>
        <w:t>BlockchainComplianceSystem</w:t>
      </w:r>
      <w:proofErr w:type="spellEnd"/>
    </w:p>
    <w:p w14:paraId="343BB6F5" w14:textId="77777777" w:rsidR="00863D87" w:rsidRDefault="00047713">
      <w:pPr>
        <w:autoSpaceDE w:val="0"/>
        <w:autoSpaceDN w:val="0"/>
        <w:spacing w:before="124" w:after="0" w:line="272" w:lineRule="exact"/>
        <w:ind w:left="4" w:right="24"/>
        <w:jc w:val="both"/>
      </w:pPr>
      <w:r>
        <w:rPr>
          <w:rFonts w:ascii="CMBX10" w:eastAsia="CMBX10" w:hAnsi="CMBX10"/>
          <w:b/>
          <w:color w:val="000000"/>
        </w:rPr>
        <w:t>ExecutiveSummary:</w:t>
      </w:r>
      <w:r>
        <w:rPr>
          <w:rFonts w:ascii="CMR10" w:eastAsia="CMR10" w:hAnsi="CMR10"/>
          <w:color w:val="000000"/>
        </w:rPr>
        <w:t xml:space="preserve">Idesignedandbuiltafour-layerreal-timecompliancesystemforblockchain transactions.TraditionalAMLtoolsactonlyaftertransactionsarecompleted,whileAMTTPassesses risk,verifiessanctions,andappliescontractdecisionsinlessthanasecond—beforeanyfundsare </w:t>
      </w:r>
      <w:proofErr w:type="spellStart"/>
      <w:r>
        <w:rPr>
          <w:rFonts w:ascii="CMR10" w:eastAsia="CMR10" w:hAnsi="CMR10"/>
          <w:color w:val="000000"/>
        </w:rPr>
        <w:t>transferred.In</w:t>
      </w:r>
      <w:proofErr w:type="spellEnd"/>
      <w:r>
        <w:rPr>
          <w:rFonts w:ascii="CMR10" w:eastAsia="CMR10" w:hAnsi="CMR10"/>
          <w:color w:val="000000"/>
        </w:rPr>
        <w:t xml:space="preserve"> its first public month, the live platform processed</w:t>
      </w:r>
      <w:r>
        <w:rPr>
          <w:rFonts w:ascii="CMBX10" w:eastAsia="CMBX10" w:hAnsi="CMBX10"/>
          <w:b/>
          <w:color w:val="000000"/>
        </w:rPr>
        <w:t xml:space="preserve"> 920,848transactions</w:t>
      </w:r>
      <w:r>
        <w:rPr>
          <w:rFonts w:ascii="CMR10" w:eastAsia="CMR10" w:hAnsi="CMR10"/>
          <w:color w:val="000000"/>
        </w:rPr>
        <w:t xml:space="preserve"> and attracted </w:t>
      </w:r>
      <w:r>
        <w:rPr>
          <w:rFonts w:ascii="CMBX10" w:eastAsia="CMBX10" w:hAnsi="CMBX10"/>
          <w:b/>
          <w:color w:val="000000"/>
        </w:rPr>
        <w:t>1,220 unique visitors</w:t>
      </w:r>
      <w:r>
        <w:rPr>
          <w:rFonts w:ascii="CMR10" w:eastAsia="CMR10" w:hAnsi="CMR10"/>
          <w:color w:val="000000"/>
        </w:rPr>
        <w:t xml:space="preserve"> at amttp.com.Every layer — consumer app, enterprise dashboard, nine-service AIbackend,andblockchaincontracts—wasbuiltbyme.</w:t>
      </w:r>
    </w:p>
    <w:p w14:paraId="71E6B522" w14:textId="77777777" w:rsidR="00863D87" w:rsidRDefault="00047713">
      <w:pPr>
        <w:autoSpaceDE w:val="0"/>
        <w:autoSpaceDN w:val="0"/>
        <w:spacing w:before="112" w:after="188" w:line="218" w:lineRule="exact"/>
        <w:ind w:left="4"/>
      </w:pPr>
      <w:r>
        <w:rPr>
          <w:rFonts w:ascii="CMBX10" w:eastAsia="CMBX10" w:hAnsi="CMBX10"/>
          <w:b/>
          <w:color w:val="000000"/>
        </w:rPr>
        <w:t>LivePublicDeploymentEvide</w:t>
      </w:r>
      <w:r>
        <w:rPr>
          <w:rFonts w:ascii="CMBX10" w:eastAsia="CMBX10" w:hAnsi="CMBX10"/>
          <w:b/>
          <w:color w:val="000000"/>
        </w:rPr>
        <w:t>nce</w:t>
      </w: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8970"/>
      </w:tblGrid>
      <w:tr w:rsidR="00863D87" w14:paraId="2F4EC743" w14:textId="77777777">
        <w:trPr>
          <w:trHeight w:hRule="exact" w:val="1346"/>
        </w:trPr>
        <w:tc>
          <w:tcPr>
            <w:tcW w:w="8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DE8"/>
            <w:tcMar>
              <w:left w:w="0" w:type="dxa"/>
              <w:right w:w="0" w:type="dxa"/>
            </w:tcMar>
          </w:tcPr>
          <w:p w14:paraId="3ABFDB47" w14:textId="77777777" w:rsidR="00863D87" w:rsidRDefault="00047713">
            <w:pPr>
              <w:autoSpaceDE w:val="0"/>
              <w:autoSpaceDN w:val="0"/>
              <w:spacing w:before="96" w:after="0" w:line="240" w:lineRule="exact"/>
              <w:jc w:val="center"/>
            </w:pPr>
            <w:r>
              <w:rPr>
                <w:rFonts w:ascii="CMBX12" w:eastAsia="CMBX12" w:hAnsi="CMBX12"/>
                <w:b/>
                <w:color w:val="000000"/>
                <w:sz w:val="24"/>
              </w:rPr>
              <w:t>4-MINUTEVIDEODEMONSTRATION</w:t>
            </w:r>
          </w:p>
          <w:p w14:paraId="6D4C0B6E" w14:textId="77777777" w:rsidR="00863D87" w:rsidRDefault="00047713">
            <w:pPr>
              <w:autoSpaceDE w:val="0"/>
              <w:autoSpaceDN w:val="0"/>
              <w:spacing w:before="78" w:after="0" w:line="218" w:lineRule="exact"/>
              <w:jc w:val="center"/>
            </w:pPr>
            <w:r>
              <w:rPr>
                <w:rFonts w:ascii="CMTT10" w:eastAsia="CMTT10" w:hAnsi="CMTT10"/>
                <w:color w:val="000000"/>
              </w:rPr>
              <w:t>https://youtu.be/I0dXSNScR0</w:t>
            </w:r>
          </w:p>
          <w:p w14:paraId="195F7698" w14:textId="77777777" w:rsidR="00863D87" w:rsidRDefault="00047713">
            <w:pPr>
              <w:tabs>
                <w:tab w:val="left" w:pos="3130"/>
                <w:tab w:val="left" w:pos="6260"/>
              </w:tabs>
              <w:autoSpaceDE w:val="0"/>
              <w:autoSpaceDN w:val="0"/>
              <w:spacing w:before="102" w:after="0" w:line="220" w:lineRule="exact"/>
              <w:ind w:left="456"/>
            </w:pPr>
            <w:r>
              <w:rPr>
                <w:rFonts w:ascii="CMTI10" w:eastAsia="CMTI10" w:hAnsi="CMTI10"/>
                <w:i/>
                <w:color w:val="000000"/>
              </w:rPr>
              <w:t>Publicdemo:</w:t>
            </w:r>
            <w:r>
              <w:rPr>
                <w:rFonts w:ascii="CMBXTI10" w:eastAsia="CMBXTI10" w:hAnsi="CMBXTI10"/>
                <w:b/>
                <w:i/>
                <w:color w:val="000000"/>
              </w:rPr>
              <w:t>amttp.com</w:t>
            </w:r>
            <w:r>
              <w:tab/>
            </w:r>
            <w:r>
              <w:rPr>
                <w:rFonts w:ascii="CMTI10" w:eastAsia="CMTI10" w:hAnsi="CMTI10"/>
                <w:i/>
                <w:color w:val="000000"/>
              </w:rPr>
              <w:t>—Sepolia-backedenvironment</w:t>
            </w:r>
            <w:r>
              <w:tab/>
            </w:r>
            <w:r>
              <w:rPr>
                <w:rFonts w:ascii="CMTI10" w:eastAsia="CMTI10" w:hAnsi="CMTI10"/>
                <w:i/>
                <w:color w:val="000000"/>
              </w:rPr>
              <w:t>—1,220uniquevisitors</w:t>
            </w:r>
          </w:p>
          <w:p w14:paraId="7E5573F7" w14:textId="77777777" w:rsidR="00863D87" w:rsidRDefault="00047713">
            <w:pPr>
              <w:tabs>
                <w:tab w:val="left" w:pos="4342"/>
              </w:tabs>
              <w:autoSpaceDE w:val="0"/>
              <w:autoSpaceDN w:val="0"/>
              <w:spacing w:before="52" w:after="0" w:line="218" w:lineRule="exact"/>
              <w:ind w:left="2378"/>
            </w:pPr>
            <w:r>
              <w:rPr>
                <w:rFonts w:ascii="CMTI10" w:eastAsia="CMTI10" w:hAnsi="CMTI10"/>
                <w:i/>
                <w:color w:val="000000"/>
              </w:rPr>
              <w:t>—38,320requests—5Apr–5May2026</w:t>
            </w:r>
          </w:p>
        </w:tc>
      </w:tr>
    </w:tbl>
    <w:p w14:paraId="7C3F2AFB" w14:textId="77777777" w:rsidR="00863D87" w:rsidRDefault="00047713">
      <w:pPr>
        <w:autoSpaceDE w:val="0"/>
        <w:autoSpaceDN w:val="0"/>
        <w:spacing w:before="306" w:after="0" w:line="240" w:lineRule="auto"/>
        <w:jc w:val="center"/>
      </w:pPr>
      <w:r>
        <w:rPr>
          <w:noProof/>
        </w:rPr>
        <w:drawing>
          <wp:inline distT="0" distB="0" distL="0" distR="0" wp14:anchorId="513F473D" wp14:editId="039CE1CE">
            <wp:extent cx="6003290" cy="3376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D0A1" w14:textId="77777777" w:rsidR="00863D87" w:rsidRDefault="00047713">
      <w:pPr>
        <w:autoSpaceDE w:val="0"/>
        <w:autoSpaceDN w:val="0"/>
        <w:spacing w:before="178" w:after="0" w:line="270" w:lineRule="exact"/>
        <w:ind w:left="4"/>
      </w:pPr>
      <w:r>
        <w:rPr>
          <w:rFonts w:ascii="CMTI10" w:eastAsia="CMTI10" w:hAnsi="CMTI10"/>
          <w:i/>
          <w:color w:val="000000"/>
          <w:sz w:val="20"/>
        </w:rPr>
        <w:t>Figure1:Cloudflareanalyticsforamttp.com—1,220uniquevisitors,38,320totalrequests,53.54%cache-hit ratio(5Apr–5May2026).IndependentlyverifiableontheliveSepolia-backedenvironment.</w:t>
      </w:r>
    </w:p>
    <w:p w14:paraId="03306445" w14:textId="77777777" w:rsidR="00863D87" w:rsidRDefault="00047713">
      <w:pPr>
        <w:autoSpaceDE w:val="0"/>
        <w:autoSpaceDN w:val="0"/>
        <w:spacing w:before="102" w:after="370" w:line="238" w:lineRule="exact"/>
        <w:ind w:left="4"/>
      </w:pPr>
      <w:r>
        <w:rPr>
          <w:rFonts w:ascii="CMBX12" w:eastAsia="CMBX12" w:hAnsi="CMBX12"/>
          <w:b/>
          <w:color w:val="000000"/>
          <w:sz w:val="24"/>
        </w:rPr>
        <w:t>TechnicalContributions</w:t>
      </w:r>
    </w:p>
    <w:p w14:paraId="72834BE2" w14:textId="77777777" w:rsidR="00863D87" w:rsidRDefault="00863D87">
      <w:pPr>
        <w:sectPr w:rsidR="00863D87">
          <w:pgSz w:w="11906" w:h="16838"/>
          <w:pgMar w:top="464" w:right="1056" w:bottom="144" w:left="1076" w:header="720" w:footer="720" w:gutter="0"/>
          <w:cols w:space="720"/>
          <w:docGrid w:linePitch="360"/>
        </w:sectPr>
      </w:pPr>
    </w:p>
    <w:p w14:paraId="32030C60" w14:textId="77777777" w:rsidR="00863D87" w:rsidRDefault="00047713">
      <w:pPr>
        <w:autoSpaceDE w:val="0"/>
        <w:autoSpaceDN w:val="0"/>
        <w:spacing w:before="36" w:after="0" w:line="238" w:lineRule="exact"/>
        <w:ind w:left="222" w:right="22" w:hanging="208"/>
        <w:jc w:val="both"/>
      </w:pPr>
      <w:r>
        <w:rPr>
          <w:rFonts w:ascii="F58" w:eastAsia="F58" w:hAnsi="F58"/>
          <w:color w:val="000000"/>
          <w:sz w:val="20"/>
        </w:rPr>
        <w:t>ˆ</w:t>
      </w:r>
      <w:r>
        <w:rPr>
          <w:rFonts w:ascii="CMBX10" w:eastAsia="CMBX10" w:hAnsi="CMBX10"/>
          <w:b/>
          <w:color w:val="000000"/>
          <w:sz w:val="20"/>
        </w:rPr>
        <w:t>Pre-settlementenforcementatscale:</w:t>
      </w:r>
      <w:r>
        <w:rPr>
          <w:rFonts w:ascii="CMR10" w:eastAsia="CMR10" w:hAnsi="CMR10"/>
          <w:color w:val="000000"/>
          <w:sz w:val="20"/>
        </w:rPr>
        <w:t>920,848 transactionsprocessedonalivepublictestnet;deci-sionsissuedbeforefundsmove,notafter.</w:t>
      </w:r>
    </w:p>
    <w:p w14:paraId="39FE7F3D" w14:textId="77777777" w:rsidR="00863D87" w:rsidRDefault="00047713">
      <w:pPr>
        <w:autoSpaceDE w:val="0"/>
        <w:autoSpaceDN w:val="0"/>
        <w:spacing w:before="36" w:after="0" w:line="238" w:lineRule="exact"/>
        <w:ind w:left="222" w:right="22" w:hanging="208"/>
        <w:jc w:val="both"/>
      </w:pPr>
      <w:r>
        <w:rPr>
          <w:rFonts w:ascii="F58" w:eastAsia="F58" w:hAnsi="F58"/>
          <w:color w:val="000000"/>
          <w:sz w:val="20"/>
        </w:rPr>
        <w:t>ˆ</w:t>
      </w:r>
      <w:r>
        <w:rPr>
          <w:rFonts w:ascii="CMBX10" w:eastAsia="CMBX10" w:hAnsi="CMBX10"/>
          <w:b/>
          <w:color w:val="000000"/>
          <w:sz w:val="20"/>
        </w:rPr>
        <w:t>Dual-modelAIscoring:</w:t>
      </w:r>
      <w:r>
        <w:rPr>
          <w:rFonts w:ascii="CMR10" w:eastAsia="CMR10" w:hAnsi="CMR10"/>
          <w:color w:val="000000"/>
          <w:sz w:val="20"/>
        </w:rPr>
        <w:t>agradient-boostedclas-sifierandaGraphNeuralNetwork(walletrelation-ship analysis); fraud-detection accuracy (ROC-AUC) 0.9999998.</w:t>
      </w:r>
    </w:p>
    <w:p w14:paraId="7364221F" w14:textId="77777777" w:rsidR="00863D87" w:rsidRDefault="00047713">
      <w:pPr>
        <w:autoSpaceDE w:val="0"/>
        <w:autoSpaceDN w:val="0"/>
        <w:spacing w:before="34" w:after="0" w:line="238" w:lineRule="exact"/>
        <w:ind w:left="222" w:right="22" w:hanging="208"/>
        <w:jc w:val="both"/>
      </w:pPr>
      <w:r>
        <w:rPr>
          <w:rFonts w:ascii="F58" w:eastAsia="F58" w:hAnsi="F58"/>
          <w:color w:val="000000"/>
          <w:sz w:val="20"/>
        </w:rPr>
        <w:t>ˆ</w:t>
      </w:r>
      <w:r>
        <w:rPr>
          <w:rFonts w:ascii="CMBX10" w:eastAsia="CMBX10" w:hAnsi="CMBX10"/>
          <w:b/>
          <w:color w:val="000000"/>
          <w:sz w:val="20"/>
        </w:rPr>
        <w:t>90%+costreduction:</w:t>
      </w:r>
      <w:r>
        <w:rPr>
          <w:rFonts w:ascii="CMR10" w:eastAsia="CMR10" w:hAnsi="CMR10"/>
          <w:color w:val="000000"/>
          <w:sz w:val="20"/>
        </w:rPr>
        <w:t>acompactmodeltrained fromalargeronerunsonstandardoffice-grade CPUs,eliminatingspecialistGPUhardware.</w:t>
      </w:r>
    </w:p>
    <w:p w14:paraId="637DECBB" w14:textId="77777777" w:rsidR="00863D87" w:rsidRDefault="00863D87">
      <w:pPr>
        <w:sectPr w:rsidR="00863D87">
          <w:type w:val="continuous"/>
          <w:pgSz w:w="11906" w:h="16838"/>
          <w:pgMar w:top="464" w:right="1056" w:bottom="144" w:left="1076" w:header="720" w:footer="720" w:gutter="0"/>
          <w:cols w:num="2" w:space="720" w:equalWidth="0">
            <w:col w:w="4801" w:space="0"/>
            <w:col w:w="4972" w:space="0"/>
          </w:cols>
          <w:docGrid w:linePitch="360"/>
        </w:sectPr>
      </w:pPr>
    </w:p>
    <w:p w14:paraId="70EFAA4E" w14:textId="77777777" w:rsidR="00863D87" w:rsidRDefault="00047713">
      <w:pPr>
        <w:autoSpaceDE w:val="0"/>
        <w:autoSpaceDN w:val="0"/>
        <w:spacing w:after="0" w:line="218" w:lineRule="exact"/>
        <w:ind w:left="20"/>
      </w:pPr>
      <w:r>
        <w:rPr>
          <w:rFonts w:ascii="CMR10" w:eastAsia="CMR10" w:hAnsi="CMR10"/>
          <w:color w:val="000000"/>
        </w:rPr>
        <w:t>1</w:t>
      </w:r>
    </w:p>
    <w:p w14:paraId="35657383" w14:textId="77777777" w:rsidR="00863D87" w:rsidRDefault="00863D87">
      <w:pPr>
        <w:sectPr w:rsidR="00863D87">
          <w:type w:val="nextColumn"/>
          <w:pgSz w:w="11906" w:h="16838"/>
          <w:pgMar w:top="464" w:right="1056" w:bottom="144" w:left="1076" w:header="720" w:footer="720" w:gutter="0"/>
          <w:cols w:num="2" w:space="720" w:equalWidth="0">
            <w:col w:w="4801" w:space="0"/>
            <w:col w:w="4972" w:space="0"/>
          </w:cols>
          <w:docGrid w:linePitch="360"/>
        </w:sectPr>
      </w:pPr>
    </w:p>
    <w:p w14:paraId="100D4820" w14:textId="77777777" w:rsidR="00863D87" w:rsidRDefault="00863D87">
      <w:pPr>
        <w:autoSpaceDE w:val="0"/>
        <w:autoSpaceDN w:val="0"/>
        <w:spacing w:after="248" w:line="220" w:lineRule="exact"/>
      </w:pPr>
    </w:p>
    <w:p w14:paraId="6894BDCD" w14:textId="77777777" w:rsidR="00863D87" w:rsidRDefault="00047713">
      <w:pPr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348F4BDE" wp14:editId="785E47AE">
            <wp:extent cx="6126480" cy="8873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8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5AEF" w14:textId="77777777" w:rsidR="00863D87" w:rsidRDefault="00047713">
      <w:pPr>
        <w:autoSpaceDE w:val="0"/>
        <w:autoSpaceDN w:val="0"/>
        <w:spacing w:before="84" w:after="0" w:line="270" w:lineRule="exact"/>
        <w:ind w:right="20"/>
        <w:jc w:val="both"/>
      </w:pPr>
      <w:r>
        <w:rPr>
          <w:rFonts w:ascii="CMTI10" w:eastAsia="CMTI10" w:hAnsi="CMTI10"/>
          <w:i/>
          <w:color w:val="000000"/>
          <w:sz w:val="20"/>
        </w:rPr>
        <w:t>Figure2:AMTTPfour-layerarchitect</w:t>
      </w:r>
      <w:r>
        <w:rPr>
          <w:rFonts w:ascii="CMTI10" w:eastAsia="CMTI10" w:hAnsi="CMTI10"/>
          <w:i/>
          <w:color w:val="000000"/>
          <w:sz w:val="20"/>
        </w:rPr>
        <w:t>ure—Flutter+Next.js(UI)</w:t>
      </w:r>
      <w:r>
        <w:rPr>
          <w:rFonts w:ascii="CMSY10" w:eastAsia="CMSY10" w:hAnsi="CMSY10"/>
          <w:i/>
          <w:color w:val="000000"/>
          <w:sz w:val="20"/>
        </w:rPr>
        <w:t>→</w:t>
      </w:r>
      <w:r>
        <w:rPr>
          <w:rFonts w:ascii="CMTI10" w:eastAsia="CMTI10" w:hAnsi="CMTI10"/>
          <w:i/>
          <w:color w:val="000000"/>
          <w:sz w:val="20"/>
        </w:rPr>
        <w:t>ExpressGateway</w:t>
      </w:r>
      <w:r>
        <w:rPr>
          <w:rFonts w:ascii="CMSY10" w:eastAsia="CMSY10" w:hAnsi="CMSY10"/>
          <w:i/>
          <w:color w:val="000000"/>
          <w:sz w:val="20"/>
        </w:rPr>
        <w:t>→</w:t>
      </w:r>
      <w:r>
        <w:rPr>
          <w:rFonts w:ascii="CMTI10" w:eastAsia="CMTI10" w:hAnsi="CMTI10"/>
          <w:i/>
          <w:color w:val="000000"/>
          <w:sz w:val="20"/>
        </w:rPr>
        <w:t>PythonFastAPI orchestrator(9microservices)</w:t>
      </w:r>
      <w:r>
        <w:rPr>
          <w:rFonts w:ascii="CMSY10" w:eastAsia="CMSY10" w:hAnsi="CMSY10"/>
          <w:i/>
          <w:color w:val="000000"/>
          <w:sz w:val="20"/>
        </w:rPr>
        <w:t>→</w:t>
      </w:r>
      <w:r>
        <w:rPr>
          <w:rFonts w:ascii="CMTI10" w:eastAsia="CMTI10" w:hAnsi="CMTI10"/>
          <w:i/>
          <w:color w:val="000000"/>
          <w:sz w:val="20"/>
        </w:rPr>
        <w:t>38Solidityfiles(corecontracts,interfaces,andsupportingmodules),17Docker containers.Alllayerssole-authored.</w:t>
      </w:r>
    </w:p>
    <w:p w14:paraId="65A74728" w14:textId="77777777" w:rsidR="00863D87" w:rsidRDefault="00047713">
      <w:pPr>
        <w:autoSpaceDE w:val="0"/>
        <w:autoSpaceDN w:val="0"/>
        <w:spacing w:before="524" w:after="0" w:line="218" w:lineRule="exact"/>
        <w:jc w:val="center"/>
      </w:pPr>
      <w:r>
        <w:rPr>
          <w:rFonts w:ascii="CMR10" w:eastAsia="CMR10" w:hAnsi="CMR10"/>
          <w:color w:val="000000"/>
        </w:rPr>
        <w:t>2</w:t>
      </w:r>
    </w:p>
    <w:p w14:paraId="5D61BC8B" w14:textId="77777777" w:rsidR="00863D87" w:rsidRDefault="00863D87">
      <w:pPr>
        <w:sectPr w:rsidR="00863D87">
          <w:pgSz w:w="11906" w:h="16838"/>
          <w:pgMar w:top="468" w:right="1060" w:bottom="144" w:left="1080" w:header="720" w:footer="720" w:gutter="0"/>
          <w:cols w:space="720"/>
          <w:docGrid w:linePitch="360"/>
        </w:sectPr>
      </w:pPr>
    </w:p>
    <w:p w14:paraId="098B19BC" w14:textId="77777777" w:rsidR="00863D87" w:rsidRDefault="00863D87">
      <w:pPr>
        <w:autoSpaceDE w:val="0"/>
        <w:autoSpaceDN w:val="0"/>
        <w:spacing w:after="264" w:line="220" w:lineRule="exact"/>
      </w:pPr>
    </w:p>
    <w:p w14:paraId="3866F0BA" w14:textId="77777777" w:rsidR="00863D87" w:rsidRDefault="00047713">
      <w:pPr>
        <w:autoSpaceDE w:val="0"/>
        <w:autoSpaceDN w:val="0"/>
        <w:spacing w:after="0" w:line="240" w:lineRule="exact"/>
        <w:ind w:left="4"/>
      </w:pPr>
      <w:r>
        <w:rPr>
          <w:rFonts w:ascii="CMBX12" w:eastAsia="CMBX12" w:hAnsi="CMBX12"/>
          <w:b/>
          <w:color w:val="000000"/>
          <w:sz w:val="24"/>
        </w:rPr>
        <w:t>LiveDashboardEvidence</w:t>
      </w:r>
    </w:p>
    <w:p w14:paraId="602DE895" w14:textId="77777777" w:rsidR="00863D87" w:rsidRDefault="00047713">
      <w:pPr>
        <w:autoSpaceDE w:val="0"/>
        <w:autoSpaceDN w:val="0"/>
        <w:spacing w:before="548" w:after="0" w:line="240" w:lineRule="auto"/>
        <w:jc w:val="center"/>
      </w:pPr>
      <w:r>
        <w:rPr>
          <w:noProof/>
        </w:rPr>
        <w:drawing>
          <wp:inline distT="0" distB="0" distL="0" distR="0" wp14:anchorId="53F0DBB7" wp14:editId="5A29DEE9">
            <wp:extent cx="6188709" cy="3481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34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43D" w14:textId="77777777" w:rsidR="00863D87" w:rsidRDefault="00047713">
      <w:pPr>
        <w:autoSpaceDE w:val="0"/>
        <w:autoSpaceDN w:val="0"/>
        <w:spacing w:before="86" w:after="0" w:line="270" w:lineRule="exact"/>
        <w:ind w:left="4"/>
      </w:pPr>
      <w:r>
        <w:rPr>
          <w:rFonts w:ascii="CMTI10" w:eastAsia="CMTI10" w:hAnsi="CMTI10"/>
          <w:i/>
          <w:color w:val="000000"/>
          <w:sz w:val="20"/>
        </w:rPr>
        <w:t>Figure3:WarRoomdashboardonthelivepublic</w:t>
      </w:r>
      <w:r>
        <w:rPr>
          <w:rFonts w:ascii="CMTI10" w:eastAsia="CMTI10" w:hAnsi="CMTI10"/>
          <w:i/>
          <w:color w:val="000000"/>
          <w:sz w:val="20"/>
        </w:rPr>
        <w:t>testnet—920,848transactionsprocessed,54.3%compliance rate,averageriskscore62.4.RealwalletaddressesindependentlyverifiableonEtherscan.</w:t>
      </w:r>
    </w:p>
    <w:p w14:paraId="3483C885" w14:textId="77777777" w:rsidR="00863D87" w:rsidRDefault="00047713">
      <w:pPr>
        <w:autoSpaceDE w:val="0"/>
        <w:autoSpaceDN w:val="0"/>
        <w:spacing w:before="1974" w:after="0" w:line="240" w:lineRule="auto"/>
        <w:jc w:val="center"/>
      </w:pPr>
      <w:r>
        <w:rPr>
          <w:noProof/>
        </w:rPr>
        <w:drawing>
          <wp:inline distT="0" distB="0" distL="0" distR="0" wp14:anchorId="13596BE9" wp14:editId="688D8642">
            <wp:extent cx="6188709" cy="3481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06C" w14:textId="77777777" w:rsidR="00863D87" w:rsidRDefault="00047713">
      <w:pPr>
        <w:autoSpaceDE w:val="0"/>
        <w:autoSpaceDN w:val="0"/>
        <w:spacing w:before="82" w:after="0" w:line="272" w:lineRule="exact"/>
        <w:ind w:left="4"/>
      </w:pPr>
      <w:r>
        <w:rPr>
          <w:rFonts w:ascii="CMTI10" w:eastAsia="CMTI10" w:hAnsi="CMTI10"/>
          <w:i/>
          <w:color w:val="000000"/>
          <w:sz w:val="20"/>
        </w:rPr>
        <w:t>Figure4:Automatedreportgeneration—DailyAMLCompliancePDF(2.4 MB),WeeklyRiskAssessment (5.1 MB),MonthlyFCASAR(8.7 MB)—allgeneratedprogrammaticallywithoutmanualintervention.</w:t>
      </w:r>
    </w:p>
    <w:p w14:paraId="0F6FDB5D" w14:textId="77777777" w:rsidR="00863D87" w:rsidRDefault="00047713">
      <w:pPr>
        <w:autoSpaceDE w:val="0"/>
        <w:autoSpaceDN w:val="0"/>
        <w:spacing w:before="384" w:after="0" w:line="218" w:lineRule="exact"/>
        <w:jc w:val="center"/>
      </w:pPr>
      <w:r>
        <w:rPr>
          <w:rFonts w:ascii="CMR10" w:eastAsia="CMR10" w:hAnsi="CMR10"/>
          <w:color w:val="000000"/>
        </w:rPr>
        <w:t>3</w:t>
      </w:r>
    </w:p>
    <w:sectPr w:rsidR="00863D87" w:rsidSect="00034616">
      <w:pgSz w:w="11906" w:h="16838"/>
      <w:pgMar w:top="484" w:right="1056" w:bottom="144" w:left="10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CMBX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MTT10">
    <w:altName w:val="Cambria"/>
    <w:panose1 w:val="00000000000000000000"/>
    <w:charset w:val="00"/>
    <w:family w:val="roman"/>
    <w:notTrueType/>
    <w:pitch w:val="default"/>
  </w:font>
  <w:font w:name="CMTI10">
    <w:altName w:val="Cambria"/>
    <w:panose1 w:val="00000000000000000000"/>
    <w:charset w:val="00"/>
    <w:family w:val="roman"/>
    <w:notTrueType/>
    <w:pitch w:val="default"/>
  </w:font>
  <w:font w:name="CMBXTI10">
    <w:altName w:val="Cambria"/>
    <w:panose1 w:val="00000000000000000000"/>
    <w:charset w:val="00"/>
    <w:family w:val="roman"/>
    <w:notTrueType/>
    <w:pitch w:val="default"/>
  </w:font>
  <w:font w:name="F58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678410">
    <w:abstractNumId w:val="8"/>
  </w:num>
  <w:num w:numId="2" w16cid:durableId="1805735472">
    <w:abstractNumId w:val="6"/>
  </w:num>
  <w:num w:numId="3" w16cid:durableId="245723130">
    <w:abstractNumId w:val="5"/>
  </w:num>
  <w:num w:numId="4" w16cid:durableId="1648239576">
    <w:abstractNumId w:val="4"/>
  </w:num>
  <w:num w:numId="5" w16cid:durableId="1944461027">
    <w:abstractNumId w:val="7"/>
  </w:num>
  <w:num w:numId="6" w16cid:durableId="1731611728">
    <w:abstractNumId w:val="3"/>
  </w:num>
  <w:num w:numId="7" w16cid:durableId="1879975207">
    <w:abstractNumId w:val="2"/>
  </w:num>
  <w:num w:numId="8" w16cid:durableId="82338897">
    <w:abstractNumId w:val="1"/>
  </w:num>
  <w:num w:numId="9" w16cid:durableId="63375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8E5"/>
    <w:rsid w:val="00863D87"/>
    <w:rsid w:val="00AA1D8D"/>
    <w:rsid w:val="00B47730"/>
    <w:rsid w:val="00C60516"/>
    <w:rsid w:val="00CB0664"/>
    <w:rsid w:val="00CD6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59106"/>
  <w14:defaultImageDpi w14:val="300"/>
  <w15:docId w15:val="{AF63BF93-934B-47D5-BAD0-5A2B4106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Israel Odeyemi</cp:lastModifiedBy>
  <cp:revision>1</cp:revision>
  <dcterms:created xsi:type="dcterms:W3CDTF">2013-12-23T23:15:00Z</dcterms:created>
  <dcterms:modified xsi:type="dcterms:W3CDTF">2026-05-14T12:10:00Z</dcterms:modified>
  <cp:category/>
</cp:coreProperties>
</file>