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6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Mandatory Criteria — Innovation and Technical Leadership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6"/>
        </w:rPr>
        <w:t>MC-1: Design and Development of AMTTP — A Four-Layer Real-Time Blockchain Compliance System</w:t>
      </w:r>
    </w:p>
    <w:p>
      <w:r>
        <w:rPr>
          <w:b/>
        </w:rPr>
        <w:t xml:space="preserve">Executive Summary: </w:t>
      </w:r>
      <w:r>
        <w:t xml:space="preserve">I designed and built a four-layer real-time compliance system for blockchain transactions. Traditional AML tools act only after transactions are completed, while AMTTP assesses risk, verifies sanctions, and applies contract decisions in less than a second — before any funds are transferred. In its first public month, the live platform processed </w:t>
      </w:r>
      <w:r>
        <w:rPr>
          <w:b/>
        </w:rPr>
        <w:t>920,848 transactions</w:t>
      </w:r>
      <w:r>
        <w:t xml:space="preserve"> and attracted </w:t>
      </w:r>
      <w:r>
        <w:rPr>
          <w:b/>
        </w:rPr>
        <w:t>1,220 unique visitors</w:t>
      </w:r>
      <w:r>
        <w:t xml:space="preserve"> at amttp.com. Every layer — consumer app, enterprise dashboard, nine-service AI backend, and blockchain contracts — was built by me.</w:t>
      </w:r>
    </w:p>
    <w:p>
      <w:pPr>
        <w:spacing w:before="100" w:after="40"/>
      </w:pPr>
      <w:r>
        <w:rPr>
          <w:b/>
          <w:color w:val="1A2A4A"/>
          <w:sz w:val="23"/>
        </w:rPr>
        <w:t>Live Public Deployment Evidence</w:t>
      </w:r>
    </w:p>
    <w:p>
      <w:pPr>
        <w:spacing w:before="0" w:after="0"/>
        <w:pBdr>
          <w:bottom w:val="single" w:sz="8" w:space="1" w:color="1a2a4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FFBE6"/>
          </w:tcPr>
          <w:p>
            <w:pPr>
              <w:jc w:val="center"/>
            </w:pPr>
            <w:r>
              <w:rPr>
                <w:b/>
                <w:sz w:val="24"/>
              </w:rPr>
              <w:t>4-MINUTE VIDEO DEMONSTRATION</w:t>
            </w:r>
          </w:p>
          <w:p>
            <w:pPr>
              <w:jc w:val="center"/>
            </w:pPr>
            <w:r>
              <w:rPr>
                <w:rFonts w:ascii="Courier New" w:hAnsi="Courier New"/>
              </w:rPr>
              <w:t>https://youtu.be/I0dXSN_ScR0</w:t>
            </w:r>
          </w:p>
          <w:p>
            <w:pPr>
              <w:jc w:val="center"/>
            </w:pPr>
            <w:r>
              <w:rPr>
                <w:i/>
              </w:rPr>
              <w:t>Public demo: amttp.com  |  Sepolia-backed  |  1,220 unique visitors  |  38,320 requests  |  5 Apr – 5 May 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1: Cloudflare analytics — 1,220 unique visitors, 38,320 requests, 53.54% cache-hit ratio (5 Apr – 5 May 2026). Independently verifiable at amttp.com.</w:t>
      </w:r>
    </w:p>
    <w:p>
      <w:pPr>
        <w:spacing w:before="100" w:after="40"/>
      </w:pPr>
      <w:r>
        <w:rPr>
          <w:b/>
          <w:color w:val="1A2A4A"/>
          <w:sz w:val="23"/>
        </w:rPr>
        <w:t>Technical Contributions</w:t>
      </w:r>
    </w:p>
    <w:p>
      <w:pPr>
        <w:spacing w:before="0" w:after="0"/>
        <w:pBdr>
          <w:bottom w:val="single" w:sz="8" w:space="1" w:color="1a2a4a"/>
        </w:pBdr>
      </w:pP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Pre-settlement enforcement at scale:</w:t>
      </w:r>
      <w:r>
        <w:rPr>
          <w:sz w:val="19"/>
        </w:rPr>
        <w:t xml:space="preserve"> 920,848 transactions processed on a live testnet; decisions issued before funds move — not after.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Dual-model AI scoring:</w:t>
      </w:r>
      <w:r>
        <w:rPr>
          <w:sz w:val="19"/>
        </w:rPr>
        <w:t xml:space="preserve"> gradient-boosted classifier + Graph Neural Network; fraud-detection ROC-AUC 0.9999998.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90%+ cost reduction:</w:t>
      </w:r>
      <w:r>
        <w:rPr>
          <w:sz w:val="19"/>
        </w:rPr>
        <w:t xml:space="preserve"> compact distilled model runs on standard CPUs, eliminating specialist GPU hardware.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Privacy-preserving identity:</w:t>
      </w:r>
      <w:r>
        <w:rPr>
          <w:sz w:val="19"/>
        </w:rPr>
        <w:t xml:space="preserve"> sanctions verified on-chain without exposing personal data — GDPR-compliant on a public ledger.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Regulatory audit trail:</w:t>
      </w:r>
      <w:r>
        <w:rPr>
          <w:sz w:val="19"/>
        </w:rPr>
        <w:t xml:space="preserve"> every compliance decision permanently recorded on-chain (FCA / MiCA requirements).</w:t>
      </w:r>
    </w:p>
    <w:p>
      <w:pPr>
        <w:pStyle w:val="ListBullet"/>
        <w:spacing w:after="40"/>
      </w:pPr>
      <w:r>
        <w:rPr>
          <w:sz w:val="19"/>
        </w:rPr>
      </w:r>
      <w:r>
        <w:rPr>
          <w:b/>
          <w:sz w:val="19"/>
        </w:rPr>
        <w:t>Zero-downtime upgrades:</w:t>
      </w:r>
      <w:r>
        <w:rPr>
          <w:sz w:val="19"/>
        </w:rPr>
        <w:t xml:space="preserve"> UUPS upgradeable contract design — compliance rules change without taking the live platform offline.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43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tt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2: AMTTP four-layer architecture — Flutter + Next.js (UI) → Express Gateway → Python FastAPI orchestrator (9 microservices) → 38 Solidity files, 17 Docker containers. All layers sole-authored.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3: War Room enterprise dashboard (Next.js, port 3006) — live compliance monitoring for compliance officers. Role-based access enforced server-side.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color w:val="444444"/>
          <w:sz w:val="18"/>
        </w:rPr>
        <w:t>Figure 4: Automated report generation — Daily AML PDF (2.4 MB), Weekly Risk Assessment (5.1 MB), Monthly FCA SAR (8.7 MB).</w:t>
      </w:r>
    </w:p>
    <w:sectPr w:rsidR="00FC693F" w:rsidRPr="0006063C" w:rsidSect="00034616"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