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Mandatory Criteria — Technical Authorship and Smart Contract Engineering</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MC-3: Smart Contract Architecture, Polyglot Engineering, and Verified Test Suite</w:t>
      </w:r>
    </w:p>
    <w:p>
      <w:pPr>
        <w:spacing w:before="60" w:after="20"/>
      </w:pPr>
      <w:r>
        <w:rPr>
          <w:b/>
          <w:color w:val="1A2A4A"/>
          <w:sz w:val="19"/>
        </w:rPr>
        <w:t>1. Executive Summary</w:t>
      </w:r>
    </w:p>
    <w:p>
      <w:pPr>
        <w:spacing w:before="0" w:after="0"/>
        <w:pBdr>
          <w:bottom w:val="single" w:sz="8" w:space="1" w:color="1a2a4a"/>
        </w:pBdr>
      </w:pPr>
    </w:p>
    <w:p>
      <w:r>
        <w:t>I am the sole designer, developer, tester, and deployer of AMTTP's blockchain enforcement layer, with no external development firm or collaborator. A smart contract is a programme that lives on a public blockchain: once triggered, it executes autonomously with no central server changing the outcome after execution; every action is permanent and public.</w:t>
      </w:r>
    </w:p>
    <w:p/>
    <w:p>
      <w:r>
        <w:t xml:space="preserve">I wrote </w:t>
      </w:r>
      <w:r>
        <w:rPr>
          <w:b/>
        </w:rPr>
        <w:t>10 such contracts in Solidity</w:t>
      </w:r>
      <w:r>
        <w:t xml:space="preserve"> (Ethereum's programming language). Each receives AI-generated risk scores and issues enforceable compliance outcomes — Approve, Review, Hold, or Block — through the contract logic. A single deployer address and immutable timestamps at </w:t>
      </w:r>
      <w:r>
        <w:rPr>
          <w:rFonts w:ascii="Courier New" w:hAnsi="Courier New"/>
        </w:rPr>
        <w:t>sepolia.etherscan.io</w:t>
      </w:r>
      <w:r>
        <w:t xml:space="preserve"> confirm both sole authorship and the development timeline. First deployment: December 2025. Full 10-contract re-deployment including ZK cryptographic verifiers: April 2026.</w:t>
      </w:r>
    </w:p>
    <w:p>
      <w:pPr>
        <w:spacing w:before="60" w:after="20"/>
      </w:pPr>
      <w:r>
        <w:rPr>
          <w:b/>
          <w:color w:val="1A2A4A"/>
          <w:sz w:val="19"/>
        </w:rPr>
        <w:t>2. Policy Enforcement Contract</w:t>
      </w:r>
    </w:p>
    <w:p>
      <w:pPr>
        <w:spacing w:before="0" w:after="0"/>
        <w:pBdr>
          <w:bottom w:val="single" w:sz="8" w:space="1" w:color="1a2a4a"/>
        </w:pBdr>
      </w:pPr>
    </w:p>
    <w:p>
      <w:pPr>
        <w:jc w:val="center"/>
      </w:pPr>
      <w:r>
        <w:drawing>
          <wp:inline xmlns:a="http://schemas.openxmlformats.org/drawingml/2006/main" xmlns:pic="http://schemas.openxmlformats.org/drawingml/2006/picture">
            <wp:extent cx="4892040" cy="2751772"/>
            <wp:docPr id="1" name="Picture 1"/>
            <wp:cNvGraphicFramePr>
              <a:graphicFrameLocks noChangeAspect="1"/>
            </wp:cNvGraphicFramePr>
            <a:graphic>
              <a:graphicData uri="http://schemas.openxmlformats.org/drawingml/2006/picture">
                <pic:pic>
                  <pic:nvPicPr>
                    <pic:cNvPr id="0" name="vscode_multitab.png"/>
                    <pic:cNvPicPr/>
                  </pic:nvPicPr>
                  <pic:blipFill>
                    <a:blip r:embed="rId9"/>
                    <a:stretch>
                      <a:fillRect/>
                    </a:stretch>
                  </pic:blipFill>
                  <pic:spPr>
                    <a:xfrm>
                      <a:off x="0" y="0"/>
                      <a:ext cx="4892040" cy="2751772"/>
                    </a:xfrm>
                    <a:prstGeom prst="rect"/>
                  </pic:spPr>
                </pic:pic>
              </a:graphicData>
            </a:graphic>
          </wp:inline>
        </w:drawing>
      </w:r>
    </w:p>
    <w:p>
      <w:pPr>
        <w:spacing w:after="20"/>
      </w:pPr>
      <w:r>
        <w:rPr>
          <w:i/>
          <w:color w:val="444444"/>
          <w:sz w:val="14"/>
        </w:rPr>
        <w:t>Figure 1: VS Code showing the core AMTTPCoreSecure.sol contract — the IAMTTPPolicyEngine interface that defines the four compliance outcomes (Approve, Review, Escrow, Block) and the validateTransaction function signature. The live War Room terminal (port 3006) confirms active development of the product layer alongside the contract layer.</w:t>
      </w:r>
    </w:p>
    <w:p>
      <w:pPr>
        <w:spacing w:before="60" w:after="20"/>
      </w:pPr>
      <w:r>
        <w:rPr>
          <w:b/>
          <w:color w:val="1A2A4A"/>
          <w:sz w:val="19"/>
        </w:rPr>
        <w:t>3. Automated Test Evidence</w:t>
      </w:r>
    </w:p>
    <w:p>
      <w:pPr>
        <w:spacing w:before="0" w:after="0"/>
        <w:pBdr>
          <w:bottom w:val="single" w:sz="8" w:space="1" w:color="1a2a4a"/>
        </w:pBdr>
      </w:pPr>
    </w:p>
    <w:p>
      <w:pPr>
        <w:jc w:val="center"/>
      </w:pPr>
      <w:r>
        <w:drawing>
          <wp:inline xmlns:a="http://schemas.openxmlformats.org/drawingml/2006/main" xmlns:pic="http://schemas.openxmlformats.org/drawingml/2006/picture">
            <wp:extent cx="4892040" cy="2751772"/>
            <wp:docPr id="2" name="Picture 2"/>
            <wp:cNvGraphicFramePr>
              <a:graphicFrameLocks noChangeAspect="1"/>
            </wp:cNvGraphicFramePr>
            <a:graphic>
              <a:graphicData uri="http://schemas.openxmlformats.org/drawingml/2006/picture">
                <pic:pic>
                  <pic:nvPicPr>
                    <pic:cNvPr id="0" name="vscode_hardhat_tests.png"/>
                    <pic:cNvPicPr/>
                  </pic:nvPicPr>
                  <pic:blipFill>
                    <a:blip r:embed="rId10"/>
                    <a:stretch>
                      <a:fillRect/>
                    </a:stretch>
                  </pic:blipFill>
                  <pic:spPr>
                    <a:xfrm>
                      <a:off x="0" y="0"/>
                      <a:ext cx="4892040" cy="2751772"/>
                    </a:xfrm>
                    <a:prstGeom prst="rect"/>
                  </pic:spPr>
                </pic:pic>
              </a:graphicData>
            </a:graphic>
          </wp:inline>
        </w:drawing>
      </w:r>
    </w:p>
    <w:p>
      <w:pPr>
        <w:spacing w:after="20"/>
      </w:pPr>
      <w:r>
        <w:rPr>
          <w:i/>
          <w:color w:val="444444"/>
          <w:sz w:val="14"/>
        </w:rPr>
        <w:t>Figure 2: Hardhat test output — 74 Solidity files compiled, 8 integration tests all passing in 13 seconds. Tests cover contract deployment, risk-score-based auto-approval, user policy enforcement, and transfer limits. Of the 74 files, 38 are original AMTTP contracts; the rest are audited OpenZeppelin library dependencies.</w:t>
      </w:r>
    </w:p>
    <w:p>
      <w:pPr>
        <w:spacing w:before="60" w:after="20"/>
      </w:pPr>
      <w:r>
        <w:rPr>
          <w:b/>
          <w:color w:val="1A2A4A"/>
          <w:sz w:val="19"/>
        </w:rPr>
        <w:t>4. Technical Significance</w:t>
      </w:r>
    </w:p>
    <w:p>
      <w:pPr>
        <w:spacing w:before="0" w:after="0"/>
        <w:pBdr>
          <w:bottom w:val="single" w:sz="8" w:space="1" w:color="1a2a4a"/>
        </w:pBdr>
      </w:pPr>
    </w:p>
    <w:p>
      <w:pPr>
        <w:pStyle w:val="ListBullet"/>
        <w:spacing w:after="40"/>
      </w:pPr>
      <w:r/>
      <w:r>
        <w:rPr>
          <w:b/>
        </w:rPr>
        <w:t>10 deployed contracts, 2 production cycles:</w:t>
      </w:r>
      <w:r>
        <w:t xml:space="preserve"> Full re-deployment in April 2026 added ZK-NAF privacy verifiers, extending the contract suite to 10 contracts and confirming sustained development from December 2025 to April 2026.</w:t>
      </w:r>
    </w:p>
    <w:p>
      <w:pPr>
        <w:pStyle w:val="ListBullet"/>
        <w:spacing w:after="40"/>
      </w:pPr>
      <w:r/>
      <w:r>
        <w:rPr>
          <w:b/>
        </w:rPr>
        <w:t>Autonomous compliance enforcement:</w:t>
      </w:r>
      <w:r>
        <w:t xml:space="preserve"> The IAMTTPPolicyEngine interface converts a risk score from the AI backend into an on-chain outcome, reducing manual intervention as a point of failure.</w:t>
      </w:r>
    </w:p>
    <w:p>
      <w:pPr>
        <w:pStyle w:val="ListBullet"/>
        <w:spacing w:after="40"/>
      </w:pPr>
      <w:r/>
      <w:r>
        <w:rPr>
          <w:b/>
        </w:rPr>
        <w:t>Independently verifiable:</w:t>
      </w:r>
      <w:r>
        <w:t xml:space="preserve"> Contract addresses, deployer wallet, timestamps, and transaction history are all public on Etherscan — no trust in the applicant's assertion is required.</w:t>
      </w:r>
    </w:p>
    <w:p>
      <w:pPr>
        <w:pStyle w:val="ListBullet"/>
        <w:spacing w:after="40"/>
      </w:pPr>
      <w:r/>
      <w:r>
        <w:rPr>
          <w:b/>
        </w:rPr>
        <w:t>Test-driven, not just compiled:</w:t>
      </w:r>
      <w:r>
        <w:t xml:space="preserve"> 8 integration tests covering the full compliance decision matrix confirm production-grade engineering discipline.</w:t>
      </w:r>
    </w:p>
    <w:p>
      <w:pPr>
        <w:spacing w:before="60" w:after="20"/>
      </w:pPr>
      <w:r>
        <w:rPr>
          <w:b/>
          <w:color w:val="1A2A4A"/>
          <w:sz w:val="19"/>
        </w:rPr>
        <w:t>5. On-Chain Deployment Evidence (Ethereum Sepolia Testnet)</w:t>
      </w:r>
    </w:p>
    <w:p>
      <w:pPr>
        <w:spacing w:before="0" w:after="0"/>
        <w:pBdr>
          <w:bottom w:val="single" w:sz="8" w:space="1" w:color="1a2a4a"/>
        </w:pBdr>
      </w:pPr>
    </w:p>
    <w:p>
      <w:pPr>
        <w:spacing w:after="40"/>
      </w:pPr>
      <w:r>
        <w:t>The AMTTP contracts have been live on Ethereum since December 2025, with a full production re-deployment in April 2026 expanding the suite to 10 contracts including ZK-SNARK privacy verifiers. Every deployment is publicly recorded. The deployer address 0xBc270F0c...527CaF23F is the sole signer across both cycles, confirming single-author ownership.</w:t>
      </w:r>
    </w:p>
    <w:tbl>
      <w:tblPr>
        <w:tblStyle w:val="TableGrid"/>
        <w:tblW w:type="auto" w:w="0"/>
        <w:jc w:val="center"/>
        <w:tblLook w:firstColumn="1" w:firstRow="1" w:lastColumn="0" w:lastRow="0" w:noHBand="0" w:noVBand="1" w:val="04A0"/>
      </w:tblPr>
      <w:tblGrid>
        <w:gridCol w:w="5074"/>
        <w:gridCol w:w="5074"/>
      </w:tblGrid>
      <w:tr>
        <w:tc>
          <w:tcPr>
            <w:tcW w:type="dxa" w:w="3168"/>
            <w:shd w:val="clear" w:color="auto" w:fill="D9E1F2"/>
          </w:tcPr>
          <w:p>
            <w:r>
              <w:rPr>
                <w:b/>
                <w:sz w:val="15"/>
              </w:rPr>
              <w:t>Contract</w:t>
            </w:r>
          </w:p>
        </w:tc>
        <w:tc>
          <w:tcPr>
            <w:tcW w:type="dxa" w:w="6192"/>
            <w:shd w:val="clear" w:color="auto" w:fill="D9E1F2"/>
          </w:tcPr>
          <w:p>
            <w:r>
              <w:rPr>
                <w:b/>
                <w:sz w:val="15"/>
              </w:rPr>
              <w:t>Address (sepolia.etherscan.io)</w:t>
            </w:r>
          </w:p>
        </w:tc>
      </w:tr>
      <w:tr>
        <w:tc>
          <w:tcPr>
            <w:tcW w:type="dxa" w:w="3168"/>
          </w:tcPr>
          <w:p>
            <w:r>
              <w:rPr>
                <w:sz w:val="15"/>
              </w:rPr>
              <w:t>AMTTPCore (v2)</w:t>
            </w:r>
          </w:p>
        </w:tc>
        <w:tc>
          <w:tcPr>
            <w:tcW w:type="dxa" w:w="6192"/>
          </w:tcPr>
          <w:p>
            <w:r>
              <w:rPr>
                <w:sz w:val="15"/>
              </w:rPr>
              <w:t>0x05687FBb0f8921ff502BdEbC180b24Ed2B14b612</w:t>
            </w:r>
          </w:p>
        </w:tc>
      </w:tr>
      <w:tr>
        <w:tc>
          <w:tcPr>
            <w:tcW w:type="dxa" w:w="3168"/>
          </w:tcPr>
          <w:p>
            <w:r>
              <w:rPr>
                <w:sz w:val="15"/>
              </w:rPr>
              <w:t>PolicyManager</w:t>
            </w:r>
          </w:p>
        </w:tc>
        <w:tc>
          <w:tcPr>
            <w:tcW w:type="dxa" w:w="6192"/>
          </w:tcPr>
          <w:p>
            <w:r>
              <w:rPr>
                <w:sz w:val="15"/>
              </w:rPr>
              <w:t>0x4eECb1348988A041B89acA4Aa9348F6e1DD9BcD3</w:t>
            </w:r>
          </w:p>
        </w:tc>
      </w:tr>
      <w:tr>
        <w:tc>
          <w:tcPr>
            <w:tcW w:type="dxa" w:w="3168"/>
          </w:tcPr>
          <w:p>
            <w:r>
              <w:rPr>
                <w:sz w:val="15"/>
              </w:rPr>
              <w:t>PolicyEngine (v2)</w:t>
            </w:r>
          </w:p>
        </w:tc>
        <w:tc>
          <w:tcPr>
            <w:tcW w:type="dxa" w:w="6192"/>
          </w:tcPr>
          <w:p>
            <w:r>
              <w:rPr>
                <w:sz w:val="15"/>
              </w:rPr>
              <w:t>0xe774E01CbFC63cfb64a0ec054821fDb5A61d8703</w:t>
            </w:r>
          </w:p>
        </w:tc>
      </w:tr>
      <w:tr>
        <w:tc>
          <w:tcPr>
            <w:tcW w:type="dxa" w:w="3168"/>
          </w:tcPr>
          <w:p>
            <w:r>
              <w:rPr>
                <w:sz w:val="15"/>
              </w:rPr>
              <w:t>DisputeResolver (v2)</w:t>
            </w:r>
          </w:p>
        </w:tc>
        <w:tc>
          <w:tcPr>
            <w:tcW w:type="dxa" w:w="6192"/>
          </w:tcPr>
          <w:p>
            <w:r>
              <w:rPr>
                <w:sz w:val="15"/>
              </w:rPr>
              <w:t>0x9EB935E68DEa685B6feAa9DAB51a46Dcd4da53D7</w:t>
            </w:r>
          </w:p>
        </w:tc>
      </w:tr>
      <w:tr>
        <w:tc>
          <w:tcPr>
            <w:tcW w:type="dxa" w:w="3168"/>
          </w:tcPr>
          <w:p>
            <w:r>
              <w:rPr>
                <w:sz w:val="15"/>
              </w:rPr>
              <w:t>CrossChain (v2)</w:t>
            </w:r>
          </w:p>
        </w:tc>
        <w:tc>
          <w:tcPr>
            <w:tcW w:type="dxa" w:w="6192"/>
          </w:tcPr>
          <w:p>
            <w:r>
              <w:rPr>
                <w:sz w:val="15"/>
              </w:rPr>
              <w:t>0x4f21b16D56e67c8Fa6AB0e3457deAB2805432953</w:t>
            </w:r>
          </w:p>
        </w:tc>
      </w:tr>
      <w:tr>
        <w:tc>
          <w:tcPr>
            <w:tcW w:type="dxa" w:w="3168"/>
          </w:tcPr>
          <w:p>
            <w:r>
              <w:rPr>
                <w:sz w:val="15"/>
              </w:rPr>
              <w:t>ZK-NAF RiskVerifier</w:t>
            </w:r>
          </w:p>
        </w:tc>
        <w:tc>
          <w:tcPr>
            <w:tcW w:type="dxa" w:w="6192"/>
          </w:tcPr>
          <w:p>
            <w:r>
              <w:rPr>
                <w:sz w:val="15"/>
              </w:rPr>
              <w:t>0x434FE5D136C20dF81a2E8240F911c2020C10D3b2</w:t>
            </w:r>
          </w:p>
        </w:tc>
      </w:tr>
      <w:tr>
        <w:tc>
          <w:tcPr>
            <w:tcW w:type="dxa" w:w="3168"/>
          </w:tcPr>
          <w:p>
            <w:r>
              <w:rPr>
                <w:sz w:val="15"/>
              </w:rPr>
              <w:t>ZK-NAF KYCVerifier</w:t>
            </w:r>
          </w:p>
        </w:tc>
        <w:tc>
          <w:tcPr>
            <w:tcW w:type="dxa" w:w="6192"/>
          </w:tcPr>
          <w:p>
            <w:r>
              <w:rPr>
                <w:sz w:val="15"/>
              </w:rPr>
              <w:t>0xf4BEaF8263cCB9f67736512BC168ea8D5ECBDfaA</w:t>
            </w:r>
          </w:p>
        </w:tc>
      </w:tr>
      <w:tr>
        <w:tc>
          <w:tcPr>
            <w:tcW w:type="dxa" w:w="3168"/>
          </w:tcPr>
          <w:p>
            <w:r>
              <w:rPr>
                <w:sz w:val="15"/>
              </w:rPr>
              <w:t>ZK-NAF SanctionsVerifier</w:t>
            </w:r>
          </w:p>
        </w:tc>
        <w:tc>
          <w:tcPr>
            <w:tcW w:type="dxa" w:w="6192"/>
          </w:tcPr>
          <w:p>
            <w:r>
              <w:rPr>
                <w:sz w:val="15"/>
              </w:rPr>
              <w:t>0xdef3f2fff995eB2B0Cb3577A3cA9B55916005145</w:t>
            </w:r>
          </w:p>
        </w:tc>
      </w:tr>
      <w:tr>
        <w:tc>
          <w:tcPr>
            <w:tcW w:type="dxa" w:w="3168"/>
          </w:tcPr>
          <w:p>
            <w:r>
              <w:rPr>
                <w:sz w:val="15"/>
              </w:rPr>
              <w:t>zkNAFRouter</w:t>
            </w:r>
          </w:p>
        </w:tc>
        <w:tc>
          <w:tcPr>
            <w:tcW w:type="dxa" w:w="6192"/>
          </w:tcPr>
          <w:p>
            <w:r>
              <w:rPr>
                <w:sz w:val="15"/>
              </w:rPr>
              <w:t>0xa5D36782089002F945167a83Bd3d2a237820F77C</w:t>
            </w:r>
          </w:p>
        </w:tc>
      </w:tr>
      <w:tr>
        <w:tc>
          <w:tcPr>
            <w:tcW w:type="dxa" w:w="3168"/>
          </w:tcPr>
          <w:p>
            <w:r>
              <w:rPr>
                <w:sz w:val="15"/>
              </w:rPr>
              <w:t>RiskRouter</w:t>
            </w:r>
          </w:p>
        </w:tc>
        <w:tc>
          <w:tcPr>
            <w:tcW w:type="dxa" w:w="6192"/>
          </w:tcPr>
          <w:p>
            <w:r>
              <w:rPr>
                <w:sz w:val="15"/>
              </w:rPr>
              <w:t>0xE722A6466F9000e0e891254Dc96Bac6a5a49F932</w:t>
            </w:r>
          </w:p>
        </w:tc>
      </w:tr>
    </w:tbl>
    <w:p>
      <w:pPr>
        <w:spacing w:after="40"/>
      </w:pPr>
    </w:p>
    <w:p>
      <w:pPr>
        <w:jc w:val="center"/>
      </w:pPr>
      <w:r>
        <w:drawing>
          <wp:inline xmlns:a="http://schemas.openxmlformats.org/drawingml/2006/main" xmlns:pic="http://schemas.openxmlformats.org/drawingml/2006/picture">
            <wp:extent cx="4892040" cy="2751772"/>
            <wp:docPr id="3" name="Picture 3"/>
            <wp:cNvGraphicFramePr>
              <a:graphicFrameLocks noChangeAspect="1"/>
            </wp:cNvGraphicFramePr>
            <a:graphic>
              <a:graphicData uri="http://schemas.openxmlformats.org/drawingml/2006/picture">
                <pic:pic>
                  <pic:nvPicPr>
                    <pic:cNvPr id="0" name="etherscan_contract.png"/>
                    <pic:cNvPicPr/>
                  </pic:nvPicPr>
                  <pic:blipFill>
                    <a:blip r:embed="rId11"/>
                    <a:stretch>
                      <a:fillRect/>
                    </a:stretch>
                  </pic:blipFill>
                  <pic:spPr>
                    <a:xfrm>
                      <a:off x="0" y="0"/>
                      <a:ext cx="4892040" cy="2751772"/>
                    </a:xfrm>
                    <a:prstGeom prst="rect"/>
                  </pic:spPr>
                </pic:pic>
              </a:graphicData>
            </a:graphic>
          </wp:inline>
        </w:drawing>
      </w:r>
    </w:p>
    <w:p>
      <w:pPr>
        <w:spacing w:after="20"/>
      </w:pPr>
      <w:r>
        <w:rPr>
          <w:i/>
          <w:color w:val="444444"/>
          <w:sz w:val="14"/>
        </w:rPr>
        <w:t>Figure 3: Etherscan record for the AMTTP PolicyEngine. "Source Code (Proxy)" badge confirms an upgradeable contract architecture. The Contract Creator field shows the deployer wallet and December 2025 timestamp. Compliance-specific calls — "Set Escrow Threshold", "Set Dispute Resolution" — prove operational use, not a placeholder deployment.</w:t>
      </w:r>
    </w:p>
    <w:p>
      <w:pPr>
        <w:spacing w:after="40"/>
      </w:pPr>
      <w:r>
        <w:t>Verification summary: Two full production deployment cycles — including ZK cryptographic verifiers and a complete automated test suite — completed by a sole engineer. The source code, tests, deployer wallet, and contract addresses create a direct verification chain from authorship to live deployment: github.com/segetii/AMTTP | contracts/ | deployments/</w:t>
      </w:r>
    </w:p>
    <w:p>
      <w:pPr>
        <w:spacing w:before="60" w:after="20"/>
      </w:pPr>
      <w:r>
        <w:rPr>
          <w:b/>
          <w:color w:val="1A2A4A"/>
          <w:sz w:val="19"/>
        </w:rPr>
        <w:t>6. Kleros-Compatible Dispute Resolution and Evidence Escrow</w:t>
      </w:r>
    </w:p>
    <w:p>
      <w:pPr>
        <w:spacing w:before="0" w:after="0"/>
        <w:pBdr>
          <w:bottom w:val="single" w:sz="8" w:space="1" w:color="1a2a4a"/>
        </w:pBdr>
      </w:pPr>
    </w:p>
    <w:p>
      <w:pPr>
        <w:spacing w:after="40"/>
      </w:pPr>
      <w:r>
        <w:t>AMTTP does not stop at approve/block decisions. High-risk transactions can be routed into a Kleros-style dispute flow: funds remain in escrow, both parties can submit evidence, an arbitrator or authorised resolver issues a ruling, and the core contract releases funds to the recipient or refunds the sender. This closes the main compliance loophole in automated AML systems: a transaction that is too risky to approve immediately is not simply rejected without process; it is preserved with an audit trail and a deterministic ruling path.</w:t>
      </w:r>
    </w:p>
    <w:tbl>
      <w:tblPr>
        <w:tblStyle w:val="TableGrid"/>
        <w:tblW w:type="auto" w:w="0"/>
        <w:jc w:val="center"/>
        <w:tblLook w:firstColumn="1" w:firstRow="1" w:lastColumn="0" w:lastRow="0" w:noHBand="0" w:noVBand="1" w:val="04A0"/>
      </w:tblPr>
      <w:tblGrid>
        <w:gridCol w:w="3383"/>
        <w:gridCol w:w="3383"/>
        <w:gridCol w:w="3383"/>
      </w:tblGrid>
      <w:tr>
        <w:tc>
          <w:tcPr>
            <w:tcW w:type="dxa" w:w="2448"/>
            <w:shd w:val="clear" w:color="auto" w:fill="D9E1F2"/>
          </w:tcPr>
          <w:p>
            <w:r>
              <w:rPr>
                <w:b/>
                <w:sz w:val="15"/>
              </w:rPr>
              <w:t>Dispute feature</w:t>
            </w:r>
          </w:p>
        </w:tc>
        <w:tc>
          <w:tcPr>
            <w:tcW w:type="dxa" w:w="3456"/>
            <w:shd w:val="clear" w:color="auto" w:fill="D9E1F2"/>
          </w:tcPr>
          <w:p>
            <w:r>
              <w:rPr>
                <w:b/>
                <w:sz w:val="15"/>
              </w:rPr>
              <w:t>Implementation evidence</w:t>
            </w:r>
          </w:p>
        </w:tc>
        <w:tc>
          <w:tcPr>
            <w:tcW w:type="dxa" w:w="3456"/>
            <w:shd w:val="clear" w:color="auto" w:fill="D9E1F2"/>
          </w:tcPr>
          <w:p>
            <w:r>
              <w:rPr>
                <w:b/>
                <w:sz w:val="15"/>
              </w:rPr>
              <w:t>Why it matters</w:t>
            </w:r>
          </w:p>
        </w:tc>
      </w:tr>
      <w:tr>
        <w:tc>
          <w:tcPr>
            <w:tcW w:type="dxa" w:w="2448"/>
          </w:tcPr>
          <w:p>
            <w:r>
              <w:rPr>
                <w:sz w:val="15"/>
              </w:rPr>
              <w:t>Escrow for high-risk transfers</w:t>
            </w:r>
          </w:p>
        </w:tc>
        <w:tc>
          <w:tcPr>
            <w:tcW w:type="dxa" w:w="3456"/>
          </w:tcPr>
          <w:p>
            <w:r>
              <w:rPr>
                <w:sz w:val="15"/>
              </w:rPr>
              <w:t>AMTTPDisputeResolver + AMTTPCore callback</w:t>
            </w:r>
          </w:p>
        </w:tc>
        <w:tc>
          <w:tcPr>
            <w:tcW w:type="dxa" w:w="3456"/>
          </w:tcPr>
          <w:p>
            <w:r>
              <w:rPr>
                <w:sz w:val="15"/>
              </w:rPr>
              <w:t>Funds cannot leave while evidence is reviewed</w:t>
            </w:r>
          </w:p>
        </w:tc>
      </w:tr>
      <w:tr>
        <w:tc>
          <w:tcPr>
            <w:tcW w:type="dxa" w:w="2448"/>
          </w:tcPr>
          <w:p>
            <w:r>
              <w:rPr>
                <w:sz w:val="15"/>
              </w:rPr>
              <w:t>Kleros-style evidence events</w:t>
            </w:r>
          </w:p>
        </w:tc>
        <w:tc>
          <w:tcPr>
            <w:tcW w:type="dxa" w:w="3456"/>
          </w:tcPr>
          <w:p>
            <w:r>
              <w:rPr>
                <w:sz w:val="15"/>
              </w:rPr>
              <w:t>MetaEvidence / Evidence-compatible event flow</w:t>
            </w:r>
          </w:p>
        </w:tc>
        <w:tc>
          <w:tcPr>
            <w:tcW w:type="dxa" w:w="3456"/>
          </w:tcPr>
          <w:p>
            <w:r>
              <w:rPr>
                <w:sz w:val="15"/>
              </w:rPr>
              <w:t>External arbitrators and regulators can inspect the case record</w:t>
            </w:r>
          </w:p>
        </w:tc>
      </w:tr>
      <w:tr>
        <w:tc>
          <w:tcPr>
            <w:tcW w:type="dxa" w:w="2448"/>
          </w:tcPr>
          <w:p>
            <w:r>
              <w:rPr>
                <w:sz w:val="15"/>
              </w:rPr>
              <w:t>Challenge window</w:t>
            </w:r>
          </w:p>
        </w:tc>
        <w:tc>
          <w:tcPr>
            <w:tcW w:type="dxa" w:w="3456"/>
          </w:tcPr>
          <w:p>
            <w:r>
              <w:rPr>
                <w:sz w:val="15"/>
              </w:rPr>
              <w:t>Default 24-hour dispute period</w:t>
            </w:r>
          </w:p>
        </w:tc>
        <w:tc>
          <w:tcPr>
            <w:tcW w:type="dxa" w:w="3456"/>
          </w:tcPr>
          <w:p>
            <w:r>
              <w:rPr>
                <w:sz w:val="15"/>
              </w:rPr>
              <w:t>Prevents irreversible release before challenge</w:t>
            </w:r>
          </w:p>
        </w:tc>
      </w:tr>
      <w:tr>
        <w:tc>
          <w:tcPr>
            <w:tcW w:type="dxa" w:w="2448"/>
          </w:tcPr>
          <w:p>
            <w:r>
              <w:rPr>
                <w:sz w:val="15"/>
              </w:rPr>
              <w:t>Approve / reject ruling</w:t>
            </w:r>
          </w:p>
        </w:tc>
        <w:tc>
          <w:tcPr>
            <w:tcW w:type="dxa" w:w="3456"/>
          </w:tcPr>
          <w:p>
            <w:r>
              <w:rPr>
                <w:sz w:val="15"/>
              </w:rPr>
              <w:t>executeDisputeRuling releases or refunds</w:t>
            </w:r>
          </w:p>
        </w:tc>
        <w:tc>
          <w:tcPr>
            <w:tcW w:type="dxa" w:w="3456"/>
          </w:tcPr>
          <w:p>
            <w:r>
              <w:rPr>
                <w:sz w:val="15"/>
              </w:rPr>
              <w:t>Final outcome is deterministic and on-chain</w:t>
            </w:r>
          </w:p>
        </w:tc>
      </w:tr>
    </w:tbl>
    <w:p>
      <w:pPr>
        <w:spacing w:after="40"/>
      </w:pPr>
    </w:p>
    <w:p>
      <w:pPr>
        <w:spacing w:after="20"/>
      </w:pPr>
      <w:r>
        <w:rPr>
          <w:i/>
          <w:color w:val="444444"/>
          <w:sz w:val="14"/>
        </w:rPr>
        <w:t>Table 2: Dispute-resolution layer. This explicitly covers the Kleros-style AMTTP feature: escrow, evidence submission, challenge window, and deterministic ruling callback.</w:t>
      </w:r>
    </w:p>
    <w:p>
      <w:pPr>
        <w:spacing w:before="60" w:after="20"/>
      </w:pPr>
      <w:r>
        <w:rPr>
          <w:b/>
          <w:color w:val="1A2A4A"/>
          <w:sz w:val="19"/>
        </w:rPr>
        <w:t>7. ZK-NAF Privacy Architecture</w:t>
      </w:r>
    </w:p>
    <w:p>
      <w:pPr>
        <w:spacing w:before="0" w:after="0"/>
        <w:pBdr>
          <w:bottom w:val="single" w:sz="8" w:space="1" w:color="1a2a4a"/>
        </w:pBdr>
      </w:pPr>
    </w:p>
    <w:p>
      <w:pPr>
        <w:spacing w:after="40"/>
      </w:pPr>
      <w:r>
        <w:t>The April 2026 deployment added a three-contract Zero-Knowledge Not-A-Fraud (ZK-NAF) suite: a RiskVerifier, a KYCVerifier, and a SanctionsVerifier. These contracts confirm that a wallet passes risk, identity, and sanctions checks — without recording or transmitting the underlying data. This is a direct GDPR compliance solution: personal data never appears on the public ledger, but the enforcement outcome is fully verifiable by any regulator.</w:t>
      </w:r>
    </w:p>
    <w:tbl>
      <w:tblPr>
        <w:tblStyle w:val="TableGrid"/>
        <w:tblW w:type="auto" w:w="0"/>
        <w:tblLook w:firstColumn="1" w:firstRow="1" w:lastColumn="0" w:lastRow="0" w:noHBand="0" w:noVBand="1" w:val="04A0"/>
      </w:tblPr>
      <w:tblGrid>
        <w:gridCol w:w="10148"/>
      </w:tblGrid>
      <w:tr>
        <w:tc>
          <w:tcPr>
            <w:tcW w:type="dxa" w:w="10148"/>
            <w:shd w:val="clear" w:color="auto" w:fill="F4F4F4"/>
          </w:tcPr>
          <w:p>
            <w:pPr>
              <w:spacing w:after="0" w:before="0"/>
              <w:ind w:left="113"/>
            </w:pPr>
            <w:r>
              <w:rPr>
                <w:rFonts w:ascii="Courier New" w:hAnsi="Courier New"/>
                <w:sz w:val="14"/>
              </w:rPr>
              <w:t>contract ZKNAFRiskVerifier is Initializable, OwnableUpgradeable, UUPSUpgradeable {</w:t>
            </w:r>
          </w:p>
          <w:p>
            <w:pPr>
              <w:spacing w:after="0" w:before="0"/>
              <w:ind w:left="113"/>
            </w:pPr>
            <w:r>
              <w:rPr>
                <w:rFonts w:ascii="Courier New" w:hAnsi="Courier New"/>
                <w:sz w:val="14"/>
              </w:rPr>
              <w:t xml:space="preserve">    struct RiskProof { uint256[2] a; uint256[2][2] b; uint256[2] c; uint256[2] input; }</w:t>
            </w:r>
          </w:p>
          <w:p>
            <w:pPr>
              <w:spacing w:after="0" w:before="0"/>
              <w:ind w:left="113"/>
            </w:pPr>
            <w:r>
              <w:rPr>
                <w:rFonts w:ascii="Courier New" w:hAnsi="Courier New"/>
                <w:sz w:val="14"/>
              </w:rPr>
              <w:t xml:space="preserve">    function verifyRiskProof(RiskProof calldata proof)</w:t>
            </w:r>
          </w:p>
          <w:p>
            <w:pPr>
              <w:spacing w:after="0" w:before="0"/>
              <w:ind w:left="113"/>
            </w:pPr>
            <w:r>
              <w:rPr>
                <w:rFonts w:ascii="Courier New" w:hAnsi="Courier New"/>
                <w:sz w:val="14"/>
              </w:rPr>
              <w:t xml:space="preserve">        external view returns (bool valid, uint256 riskScore) {</w:t>
            </w:r>
          </w:p>
          <w:p>
            <w:pPr>
              <w:spacing w:after="0" w:before="0"/>
              <w:ind w:left="113"/>
            </w:pPr>
            <w:r>
              <w:rPr>
                <w:rFonts w:ascii="Courier New" w:hAnsi="Courier New"/>
                <w:sz w:val="14"/>
              </w:rPr>
              <w:t xml:space="preserve">        valid = verifier.verifyProof(proof.a, proof.b, proof.c, proof.input);</w:t>
            </w:r>
          </w:p>
          <w:p>
            <w:pPr>
              <w:spacing w:after="0" w:before="0"/>
              <w:ind w:left="113"/>
            </w:pPr>
            <w:r>
              <w:rPr>
                <w:rFonts w:ascii="Courier New" w:hAnsi="Courier New"/>
                <w:sz w:val="14"/>
              </w:rPr>
              <w:t xml:space="preserve">        riskScore = valid ? proof.input[0] : 0;</w:t>
            </w:r>
          </w:p>
          <w:p>
            <w:pPr>
              <w:spacing w:after="0" w:before="0"/>
              <w:ind w:left="113"/>
            </w:pPr>
            <w:r>
              <w:rPr>
                <w:rFonts w:ascii="Courier New" w:hAnsi="Courier New"/>
                <w:sz w:val="14"/>
              </w:rPr>
              <w:t xml:space="preserve">    }</w:t>
            </w:r>
          </w:p>
          <w:p>
            <w:pPr>
              <w:spacing w:after="0" w:before="0"/>
              <w:ind w:left="113"/>
            </w:pPr>
            <w:r>
              <w:rPr>
                <w:rFonts w:ascii="Courier New" w:hAnsi="Courier New"/>
                <w:sz w:val="14"/>
              </w:rPr>
              <w:t xml:space="preserve">    function batchVerify(RiskProof[] calldata proofs) external view returns (bool[] memory);</w:t>
            </w:r>
          </w:p>
          <w:p>
            <w:pPr>
              <w:spacing w:after="0" w:before="0"/>
              <w:ind w:left="113"/>
            </w:pPr>
            <w:r>
              <w:rPr>
                <w:rFonts w:ascii="Courier New" w:hAnsi="Courier New"/>
                <w:sz w:val="14"/>
              </w:rPr>
              <w:t>}</w:t>
            </w:r>
          </w:p>
        </w:tc>
      </w:tr>
    </w:tbl>
    <w:p/>
    <w:p>
      <w:pPr>
        <w:spacing w:after="20"/>
      </w:pPr>
      <w:r>
        <w:rPr>
          <w:i/>
          <w:color w:val="444444"/>
          <w:sz w:val="14"/>
        </w:rPr>
        <w:t>Figure 4: ZKNAFRiskVerifier.sol — Groth16 ZK-SNARK proof verification. The wallet identity and risk score are hashed before submission; the contract verifies the proof without ever seeing the underlying data. Sole-authored, deployed April 2026.</w:t>
      </w:r>
    </w:p>
    <w:p>
      <w:pPr>
        <w:spacing w:after="40"/>
      </w:pPr>
      <w:r>
        <w:t>Three deployed ZK verifier contracts confirm that the AMTTP blockchain layer implements privacy-preserving compliance — not just rule enforcement. This architectural decision resolves the fundamental conflict between KYC/AML obligations and GDPR data-minimisation requirements, and represents a direct technical contribution to UK regulatory technology.</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