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OC4-2: Academic Publications &amp; Global Research Impact</w:t>
      </w:r>
    </w:p>
    <w:p>
      <w:pPr>
        <w:spacing w:before="60" w:after="20"/>
      </w:pPr>
      <w:r>
        <w:rPr>
          <w:b/>
          <w:color w:val="1A2A4A"/>
          <w:sz w:val="19"/>
        </w:rPr>
        <w:t>1. Executive Summary</w:t>
      </w:r>
    </w:p>
    <w:p>
      <w:pPr>
        <w:spacing w:before="0" w:after="0"/>
        <w:pBdr>
          <w:bottom w:val="single" w:sz="8" w:space="1" w:color="1a2a4a"/>
        </w:pBdr>
      </w:pPr>
    </w:p>
    <w:p>
      <w:r>
        <w:t xml:space="preserve">I wrote and published </w:t>
      </w:r>
      <w:r>
        <w:rPr>
          <w:b/>
        </w:rPr>
        <w:t>four research papers</w:t>
      </w:r>
      <w:r>
        <w:t xml:space="preserve"> without institutional affiliation, co-authors, or promotion budget on TechRxiv (the IEEE engineering preprint platform) and Zenodo (a CERN-hosted open-access research archive). In under ten weeks they recorded </w:t>
      </w:r>
      <w:r>
        <w:rPr>
          <w:b/>
        </w:rPr>
        <w:t>365 views and 210 downloads</w:t>
      </w:r>
      <w:r>
        <w:t xml:space="preserve">. Three were independently selected as required reading for an accredited postgraduate course by a </w:t>
      </w:r>
      <w:r>
        <w:rPr>
          <w:b/>
        </w:rPr>
        <w:t>Top 2% World Scientist</w:t>
      </w:r>
      <w:r>
        <w:t xml:space="preserve"> (Stanford University annual citation impact ranking), without any prior contact with me. The course evidence is documented separately in OC4-3.</w:t>
      </w:r>
    </w:p>
    <w:p>
      <w:pPr>
        <w:spacing w:before="60" w:after="20"/>
      </w:pPr>
      <w:r>
        <w:rPr>
          <w:b/>
          <w:color w:val="1A2A4A"/>
          <w:sz w:val="19"/>
        </w:rPr>
        <w:t>2. The AMTTP Infrastructure Paper (TechRxiv)</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5074"/>
        <w:gridCol w:w="5074"/>
      </w:tblGrid>
      <w:tr>
        <w:tc>
          <w:tcPr>
            <w:tcW w:type="dxa" w:w="2160"/>
            <w:shd w:val="clear" w:color="auto" w:fill="D9E1F2"/>
          </w:tcPr>
          <w:p>
            <w:r>
              <w:rPr>
                <w:b/>
                <w:sz w:val="15"/>
              </w:rPr>
              <w:t>Field</w:t>
            </w:r>
          </w:p>
        </w:tc>
        <w:tc>
          <w:tcPr>
            <w:tcW w:type="dxa" w:w="7200"/>
            <w:shd w:val="clear" w:color="auto" w:fill="D9E1F2"/>
          </w:tcPr>
          <w:p>
            <w:r>
              <w:rPr>
                <w:b/>
                <w:sz w:val="15"/>
              </w:rPr>
              <w:t>Detail</w:t>
            </w:r>
          </w:p>
        </w:tc>
      </w:tr>
      <w:tr>
        <w:tc>
          <w:tcPr>
            <w:tcW w:type="dxa" w:w="2160"/>
          </w:tcPr>
          <w:p>
            <w:r>
              <w:rPr>
                <w:sz w:val="15"/>
              </w:rPr>
              <w:t>Published</w:t>
            </w:r>
          </w:p>
        </w:tc>
        <w:tc>
          <w:tcPr>
            <w:tcW w:type="dxa" w:w="7200"/>
          </w:tcPr>
          <w:p>
            <w:r>
              <w:rPr>
                <w:sz w:val="15"/>
              </w:rPr>
              <w:t>27 February 2026</w:t>
            </w:r>
          </w:p>
        </w:tc>
      </w:tr>
      <w:tr>
        <w:tc>
          <w:tcPr>
            <w:tcW w:type="dxa" w:w="2160"/>
          </w:tcPr>
          <w:p>
            <w:r>
              <w:rPr>
                <w:sz w:val="15"/>
              </w:rPr>
              <w:t>Metrics</w:t>
            </w:r>
          </w:p>
        </w:tc>
        <w:tc>
          <w:tcPr>
            <w:tcW w:type="dxa" w:w="7200"/>
          </w:tcPr>
          <w:p>
            <w:r>
              <w:rPr>
                <w:sz w:val="15"/>
              </w:rPr>
              <w:t>230 Views, 153 Downloads (as of 5 May 2026)</w:t>
            </w:r>
          </w:p>
        </w:tc>
      </w:tr>
      <w:tr>
        <w:tc>
          <w:tcPr>
            <w:tcW w:type="dxa" w:w="2160"/>
          </w:tcPr>
          <w:p>
            <w:r>
              <w:rPr>
                <w:sz w:val="15"/>
              </w:rPr>
              <w:t>Platform</w:t>
            </w:r>
          </w:p>
        </w:tc>
        <w:tc>
          <w:tcPr>
            <w:tcW w:type="dxa" w:w="7200"/>
          </w:tcPr>
          <w:p>
            <w:r>
              <w:rPr>
                <w:sz w:val="15"/>
              </w:rPr>
              <w:t>TechRxiv — IEEE engineering preprint server</w:t>
            </w:r>
          </w:p>
        </w:tc>
      </w:tr>
      <w:tr>
        <w:tc>
          <w:tcPr>
            <w:tcW w:type="dxa" w:w="2160"/>
          </w:tcPr>
          <w:p>
            <w:r>
              <w:rPr>
                <w:sz w:val="15"/>
              </w:rPr>
              <w:t>DOI</w:t>
            </w:r>
          </w:p>
        </w:tc>
        <w:tc>
          <w:tcPr>
            <w:tcW w:type="dxa" w:w="7200"/>
          </w:tcPr>
          <w:p>
            <w:r>
              <w:rPr>
                <w:sz w:val="15"/>
              </w:rPr>
              <w:t>10.36227/techrxiv.177220113.33816607/v1</w:t>
            </w:r>
          </w:p>
        </w:tc>
      </w:tr>
    </w:tbl>
    <w:p>
      <w:pPr>
        <w:spacing w:after="40"/>
      </w:pPr>
    </w:p>
    <w:p>
      <w:pPr>
        <w:spacing w:after="40"/>
      </w:pPr>
      <w:r>
        <w:t>The first paper, introducing the AMTTP system design to the academic community — specifically how the blockchain enforcement layer and the AI fraud-detection engine are connected. It recorded 230 views and 153 downloads in roughly ten weeks, with no institutional promotion.</w:t>
      </w: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techrxiv_amttp.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1: TechRxiv analytics — 230 views, 153 downloads; 10 weeks, no institutional promotion.</w:t>
      </w:r>
    </w:p>
    <w:p>
      <w:pPr>
        <w:spacing w:before="60" w:after="20"/>
      </w:pPr>
      <w:r>
        <w:rPr>
          <w:b/>
          <w:color w:val="1A2A4A"/>
          <w:sz w:val="19"/>
        </w:rPr>
        <w:t>3. Blind-Spot Decomposition Theory — BSDT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5074"/>
        <w:gridCol w:w="5074"/>
      </w:tblGrid>
      <w:tr>
        <w:tc>
          <w:tcPr>
            <w:tcW w:type="dxa" w:w="2160"/>
            <w:shd w:val="clear" w:color="auto" w:fill="D9E1F2"/>
          </w:tcPr>
          <w:p>
            <w:r>
              <w:rPr>
                <w:b/>
                <w:sz w:val="15"/>
              </w:rPr>
              <w:t>Field</w:t>
            </w:r>
          </w:p>
        </w:tc>
        <w:tc>
          <w:tcPr>
            <w:tcW w:type="dxa" w:w="7200"/>
            <w:shd w:val="clear" w:color="auto" w:fill="D9E1F2"/>
          </w:tcPr>
          <w:p>
            <w:r>
              <w:rPr>
                <w:b/>
                <w:sz w:val="15"/>
              </w:rPr>
              <w:t>Detail</w:t>
            </w:r>
          </w:p>
        </w:tc>
      </w:tr>
      <w:tr>
        <w:tc>
          <w:tcPr>
            <w:tcW w:type="dxa" w:w="2160"/>
          </w:tcPr>
          <w:p>
            <w:r>
              <w:rPr>
                <w:sz w:val="15"/>
              </w:rPr>
              <w:t>Published</w:t>
            </w:r>
          </w:p>
        </w:tc>
        <w:tc>
          <w:tcPr>
            <w:tcW w:type="dxa" w:w="7200"/>
          </w:tcPr>
          <w:p>
            <w:r>
              <w:rPr>
                <w:sz w:val="15"/>
              </w:rPr>
              <w:t>5 March 2026</w:t>
            </w:r>
          </w:p>
        </w:tc>
      </w:tr>
      <w:tr>
        <w:tc>
          <w:tcPr>
            <w:tcW w:type="dxa" w:w="2160"/>
          </w:tcPr>
          <w:p>
            <w:r>
              <w:rPr>
                <w:sz w:val="15"/>
              </w:rPr>
              <w:t>Metrics</w:t>
            </w:r>
          </w:p>
        </w:tc>
        <w:tc>
          <w:tcPr>
            <w:tcW w:type="dxa" w:w="7200"/>
          </w:tcPr>
          <w:p>
            <w:r>
              <w:rPr>
                <w:sz w:val="15"/>
              </w:rPr>
              <w:t>135 Views, 57 Downloads (as of 5 May 2026)</w:t>
            </w:r>
          </w:p>
        </w:tc>
      </w:tr>
      <w:tr>
        <w:tc>
          <w:tcPr>
            <w:tcW w:type="dxa" w:w="2160"/>
          </w:tcPr>
          <w:p>
            <w:r>
              <w:rPr>
                <w:sz w:val="15"/>
              </w:rPr>
              <w:t>Platform</w:t>
            </w:r>
          </w:p>
        </w:tc>
        <w:tc>
          <w:tcPr>
            <w:tcW w:type="dxa" w:w="7200"/>
          </w:tcPr>
          <w:p>
            <w:r>
              <w:rPr>
                <w:sz w:val="15"/>
              </w:rPr>
              <w:t>Zenodo — CERN-hosted open-access archive</w:t>
            </w:r>
          </w:p>
        </w:tc>
      </w:tr>
      <w:tr>
        <w:tc>
          <w:tcPr>
            <w:tcW w:type="dxa" w:w="2160"/>
          </w:tcPr>
          <w:p>
            <w:r>
              <w:rPr>
                <w:sz w:val="15"/>
              </w:rPr>
              <w:t>DOI</w:t>
            </w:r>
          </w:p>
        </w:tc>
        <w:tc>
          <w:tcPr>
            <w:tcW w:type="dxa" w:w="7200"/>
          </w:tcPr>
          <w:p>
            <w:r>
              <w:rPr>
                <w:sz w:val="15"/>
              </w:rPr>
              <w:t>10.5281/zenodo.18870590</w:t>
            </w:r>
          </w:p>
        </w:tc>
      </w:tr>
    </w:tbl>
    <w:p>
      <w:pPr>
        <w:spacing w:after="40"/>
      </w:pP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zenodo_bsdt.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2: Zenodo analytics — 135 views, 57 downloads for the BSDT paper.</w:t>
      </w:r>
    </w:p>
    <w:p>
      <w:pPr>
        <w:spacing w:before="60" w:after="20"/>
      </w:pPr>
      <w:r>
        <w:rPr>
          <w:b/>
          <w:color w:val="1A2A4A"/>
          <w:sz w:val="19"/>
        </w:rPr>
        <w:t>4. Blind-Spot Decomposition and the Geometry of System Collapse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5074"/>
        <w:gridCol w:w="5074"/>
      </w:tblGrid>
      <w:tr>
        <w:tc>
          <w:tcPr>
            <w:tcW w:type="dxa" w:w="2160"/>
            <w:shd w:val="clear" w:color="auto" w:fill="D9E1F2"/>
          </w:tcPr>
          <w:p>
            <w:r>
              <w:rPr>
                <w:b/>
                <w:sz w:val="15"/>
              </w:rPr>
              <w:t>Field</w:t>
            </w:r>
          </w:p>
        </w:tc>
        <w:tc>
          <w:tcPr>
            <w:tcW w:type="dxa" w:w="7200"/>
            <w:shd w:val="clear" w:color="auto" w:fill="D9E1F2"/>
          </w:tcPr>
          <w:p>
            <w:r>
              <w:rPr>
                <w:b/>
                <w:sz w:val="15"/>
              </w:rPr>
              <w:t>Detail</w:t>
            </w:r>
          </w:p>
        </w:tc>
      </w:tr>
      <w:tr>
        <w:tc>
          <w:tcPr>
            <w:tcW w:type="dxa" w:w="2160"/>
          </w:tcPr>
          <w:p>
            <w:r>
              <w:rPr>
                <w:sz w:val="15"/>
              </w:rPr>
              <w:t>Published</w:t>
            </w:r>
          </w:p>
        </w:tc>
        <w:tc>
          <w:tcPr>
            <w:tcW w:type="dxa" w:w="7200"/>
          </w:tcPr>
          <w:p>
            <w:r>
              <w:rPr>
                <w:sz w:val="15"/>
              </w:rPr>
              <w:t>16 March 2026</w:t>
            </w:r>
          </w:p>
        </w:tc>
      </w:tr>
      <w:tr>
        <w:tc>
          <w:tcPr>
            <w:tcW w:type="dxa" w:w="2160"/>
          </w:tcPr>
          <w:p>
            <w:r>
              <w:rPr>
                <w:sz w:val="15"/>
              </w:rPr>
              <w:t>Platform</w:t>
            </w:r>
          </w:p>
        </w:tc>
        <w:tc>
          <w:tcPr>
            <w:tcW w:type="dxa" w:w="7200"/>
          </w:tcPr>
          <w:p>
            <w:r>
              <w:rPr>
                <w:sz w:val="15"/>
              </w:rPr>
              <w:t>Zenodo — CERN-hosted open-access archive</w:t>
            </w:r>
          </w:p>
        </w:tc>
      </w:tr>
      <w:tr>
        <w:tc>
          <w:tcPr>
            <w:tcW w:type="dxa" w:w="2160"/>
          </w:tcPr>
          <w:p>
            <w:r>
              <w:rPr>
                <w:sz w:val="15"/>
              </w:rPr>
              <w:t>DOI</w:t>
            </w:r>
          </w:p>
        </w:tc>
        <w:tc>
          <w:tcPr>
            <w:tcW w:type="dxa" w:w="7200"/>
          </w:tcPr>
          <w:p>
            <w:r>
              <w:rPr>
                <w:sz w:val="15"/>
              </w:rPr>
              <w:t>10.5281/zenodo.19038783</w:t>
            </w:r>
          </w:p>
        </w:tc>
      </w:tr>
    </w:tbl>
    <w:p>
      <w:pPr>
        <w:spacing w:after="40"/>
      </w:pPr>
    </w:p>
    <w:p>
      <w:pPr>
        <w:spacing w:after="40"/>
      </w:pPr>
      <w:r>
        <w:t>This paper extends BSDT using topology and control theory, testing whether the same framework detects instability beyond financial fraud. It was applied to three independent crisis datasets (2008 US banking crisis, Terra/Luna collapse, 2021 Texas power-grid failure) without retraining; quantitative results are in OC4-1. This is generalisable mathematical theory, not product-specific implementation.</w:t>
      </w:r>
    </w:p>
    <w:p>
      <w:pPr>
        <w:jc w:val="center"/>
      </w:pPr>
      <w:r>
        <w:drawing>
          <wp:inline xmlns:a="http://schemas.openxmlformats.org/drawingml/2006/main" xmlns:pic="http://schemas.openxmlformats.org/drawingml/2006/picture">
            <wp:extent cx="4892040" cy="2751772"/>
            <wp:docPr id="3" name="Picture 3"/>
            <wp:cNvGraphicFramePr>
              <a:graphicFrameLocks noChangeAspect="1"/>
            </wp:cNvGraphicFramePr>
            <a:graphic>
              <a:graphicData uri="http://schemas.openxmlformats.org/drawingml/2006/picture">
                <pic:pic>
                  <pic:nvPicPr>
                    <pic:cNvPr id="0" name="zenodo_geometry.png"/>
                    <pic:cNvPicPr/>
                  </pic:nvPicPr>
                  <pic:blipFill>
                    <a:blip r:embed="rId11"/>
                    <a:stretch>
                      <a:fillRect/>
                    </a:stretch>
                  </pic:blipFill>
                  <pic:spPr>
                    <a:xfrm>
                      <a:off x="0" y="0"/>
                      <a:ext cx="4892040" cy="2751772"/>
                    </a:xfrm>
                    <a:prstGeom prst="rect"/>
                  </pic:spPr>
                </pic:pic>
              </a:graphicData>
            </a:graphic>
          </wp:inline>
        </w:drawing>
      </w:r>
    </w:p>
    <w:p>
      <w:pPr>
        <w:spacing w:after="20"/>
      </w:pPr>
      <w:r>
        <w:rPr>
          <w:i/>
          <w:color w:val="444444"/>
          <w:sz w:val="14"/>
        </w:rPr>
        <w:t>Figure 3: Zenodo — Geometry of System Collapse. Three crisis datasets, no retraining. AUROC 0.9997 on ERCOT.</w:t>
      </w:r>
    </w:p>
    <w:p>
      <w:pPr>
        <w:spacing w:before="60" w:after="20"/>
      </w:pPr>
      <w:r>
        <w:rPr>
          <w:b/>
          <w:color w:val="1A2A4A"/>
          <w:sz w:val="19"/>
        </w:rPr>
        <w:t>5. Universal Deviation Principle (Zenodo)</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5074"/>
        <w:gridCol w:w="5074"/>
      </w:tblGrid>
      <w:tr>
        <w:tc>
          <w:tcPr>
            <w:tcW w:type="dxa" w:w="2160"/>
            <w:shd w:val="clear" w:color="auto" w:fill="D9E1F2"/>
          </w:tcPr>
          <w:p>
            <w:r>
              <w:rPr>
                <w:b/>
                <w:sz w:val="15"/>
              </w:rPr>
              <w:t>Field</w:t>
            </w:r>
          </w:p>
        </w:tc>
        <w:tc>
          <w:tcPr>
            <w:tcW w:type="dxa" w:w="7200"/>
            <w:shd w:val="clear" w:color="auto" w:fill="D9E1F2"/>
          </w:tcPr>
          <w:p>
            <w:r>
              <w:rPr>
                <w:b/>
                <w:sz w:val="15"/>
              </w:rPr>
              <w:t>Detail</w:t>
            </w:r>
          </w:p>
        </w:tc>
      </w:tr>
      <w:tr>
        <w:tc>
          <w:tcPr>
            <w:tcW w:type="dxa" w:w="2160"/>
          </w:tcPr>
          <w:p>
            <w:r>
              <w:rPr>
                <w:sz w:val="15"/>
              </w:rPr>
              <w:t>Published</w:t>
            </w:r>
          </w:p>
        </w:tc>
        <w:tc>
          <w:tcPr>
            <w:tcW w:type="dxa" w:w="7200"/>
          </w:tcPr>
          <w:p>
            <w:r>
              <w:rPr>
                <w:sz w:val="15"/>
              </w:rPr>
              <w:t>March 2026</w:t>
            </w:r>
          </w:p>
        </w:tc>
      </w:tr>
      <w:tr>
        <w:tc>
          <w:tcPr>
            <w:tcW w:type="dxa" w:w="2160"/>
          </w:tcPr>
          <w:p>
            <w:r>
              <w:rPr>
                <w:sz w:val="15"/>
              </w:rPr>
              <w:t>Platform</w:t>
            </w:r>
          </w:p>
        </w:tc>
        <w:tc>
          <w:tcPr>
            <w:tcW w:type="dxa" w:w="7200"/>
          </w:tcPr>
          <w:p>
            <w:r>
              <w:rPr>
                <w:sz w:val="15"/>
              </w:rPr>
              <w:t>Zenodo — CERN-hosted open-access archive</w:t>
            </w:r>
          </w:p>
        </w:tc>
      </w:tr>
      <w:tr>
        <w:tc>
          <w:tcPr>
            <w:tcW w:type="dxa" w:w="2160"/>
          </w:tcPr>
          <w:p>
            <w:r>
              <w:rPr>
                <w:sz w:val="15"/>
              </w:rPr>
              <w:t>DOI</w:t>
            </w:r>
          </w:p>
        </w:tc>
        <w:tc>
          <w:tcPr>
            <w:tcW w:type="dxa" w:w="7200"/>
          </w:tcPr>
          <w:p>
            <w:r>
              <w:rPr>
                <w:sz w:val="15"/>
              </w:rPr>
              <w:t>10.5281/zenodo.19037688</w:t>
            </w:r>
          </w:p>
        </w:tc>
      </w:tr>
    </w:tbl>
    <w:p>
      <w:pPr>
        <w:spacing w:after="40"/>
      </w:pPr>
    </w:p>
    <w:p>
      <w:pPr>
        <w:spacing w:after="40"/>
      </w:pPr>
      <w:r>
        <w:t>A multi-operator framework for anomaly detection and classification with sensitivity guarantees. Selected as recommended reading in CPE 604 alongside the BSDT and AMTTP papers.</w:t>
      </w:r>
    </w:p>
    <w:p>
      <w:pPr>
        <w:jc w:val="center"/>
      </w:pPr>
      <w:r>
        <w:drawing>
          <wp:inline xmlns:a="http://schemas.openxmlformats.org/drawingml/2006/main" xmlns:pic="http://schemas.openxmlformats.org/drawingml/2006/picture">
            <wp:extent cx="4892040" cy="2751772"/>
            <wp:docPr id="4" name="Picture 4"/>
            <wp:cNvGraphicFramePr>
              <a:graphicFrameLocks noChangeAspect="1"/>
            </wp:cNvGraphicFramePr>
            <a:graphic>
              <a:graphicData uri="http://schemas.openxmlformats.org/drawingml/2006/picture">
                <pic:pic>
                  <pic:nvPicPr>
                    <pic:cNvPr id="0" name="zenodo_udp.png"/>
                    <pic:cNvPicPr/>
                  </pic:nvPicPr>
                  <pic:blipFill>
                    <a:blip r:embed="rId12"/>
                    <a:stretch>
                      <a:fillRect/>
                    </a:stretch>
                  </pic:blipFill>
                  <pic:spPr>
                    <a:xfrm>
                      <a:off x="0" y="0"/>
                      <a:ext cx="4892040" cy="2751772"/>
                    </a:xfrm>
                    <a:prstGeom prst="rect"/>
                  </pic:spPr>
                </pic:pic>
              </a:graphicData>
            </a:graphic>
          </wp:inline>
        </w:drawing>
      </w:r>
    </w:p>
    <w:p>
      <w:pPr>
        <w:spacing w:after="20"/>
      </w:pPr>
      <w:r>
        <w:rPr>
          <w:i/>
          <w:color w:val="444444"/>
          <w:sz w:val="14"/>
        </w:rPr>
        <w:t>Figure 4: Zenodo record for the Universal Deviation Principle paper. DOI: 10.5281/zenodo.19037688. Published March 2026.</w:t>
      </w:r>
    </w:p>
    <w:p>
      <w:pPr>
        <w:spacing w:before="60" w:after="20"/>
      </w:pPr>
      <w:r>
        <w:rPr>
          <w:b/>
          <w:color w:val="1A2A4A"/>
          <w:sz w:val="19"/>
        </w:rPr>
        <w:t>6. Combined Impact Summary</w:t>
      </w:r>
    </w:p>
    <w:p>
      <w:pPr>
        <w:spacing w:before="0" w:after="0"/>
        <w:pBdr>
          <w:bottom w:val="single" w:sz="8" w:space="1" w:color="1a2a4a"/>
        </w:pBdr>
      </w:pPr>
    </w:p>
    <w:p>
      <w:pPr>
        <w:spacing w:after="40"/>
      </w:pPr>
      <w:r>
        <w:t>Four papers, three platforms, under ten weeks from first submission to academic adoption — all without institutional affiliation, co-authors, or any promotion budget.</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3744"/>
            <w:shd w:val="clear" w:color="auto" w:fill="D9E1F2"/>
          </w:tcPr>
          <w:p>
            <w:r>
              <w:rPr>
                <w:b/>
                <w:sz w:val="15"/>
              </w:rPr>
              <w:t>Paper</w:t>
            </w:r>
          </w:p>
        </w:tc>
        <w:tc>
          <w:tcPr>
            <w:tcW w:type="dxa" w:w="1440"/>
            <w:shd w:val="clear" w:color="auto" w:fill="D9E1F2"/>
          </w:tcPr>
          <w:p>
            <w:r>
              <w:rPr>
                <w:b/>
                <w:sz w:val="15"/>
              </w:rPr>
              <w:t>Platform</w:t>
            </w:r>
          </w:p>
        </w:tc>
        <w:tc>
          <w:tcPr>
            <w:tcW w:type="dxa" w:w="1152"/>
            <w:shd w:val="clear" w:color="auto" w:fill="D9E1F2"/>
          </w:tcPr>
          <w:p>
            <w:r>
              <w:rPr>
                <w:b/>
                <w:sz w:val="15"/>
              </w:rPr>
              <w:t>Views</w:t>
            </w:r>
          </w:p>
        </w:tc>
        <w:tc>
          <w:tcPr>
            <w:tcW w:type="dxa" w:w="1584"/>
            <w:shd w:val="clear" w:color="auto" w:fill="D9E1F2"/>
          </w:tcPr>
          <w:p>
            <w:r>
              <w:rPr>
                <w:b/>
                <w:sz w:val="15"/>
              </w:rPr>
              <w:t>Downloads</w:t>
            </w:r>
          </w:p>
        </w:tc>
        <w:tc>
          <w:tcPr>
            <w:tcW w:type="dxa" w:w="2160"/>
            <w:shd w:val="clear" w:color="auto" w:fill="D9E1F2"/>
          </w:tcPr>
          <w:p>
            <w:r>
              <w:rPr>
                <w:b/>
                <w:sz w:val="15"/>
              </w:rPr>
              <w:t>Adopted (CPE 604)</w:t>
            </w:r>
          </w:p>
        </w:tc>
      </w:tr>
      <w:tr>
        <w:tc>
          <w:tcPr>
            <w:tcW w:type="dxa" w:w="3744"/>
          </w:tcPr>
          <w:p>
            <w:r>
              <w:rPr>
                <w:sz w:val="15"/>
              </w:rPr>
              <w:t>AMTTP Infrastructure</w:t>
            </w:r>
          </w:p>
        </w:tc>
        <w:tc>
          <w:tcPr>
            <w:tcW w:type="dxa" w:w="1440"/>
          </w:tcPr>
          <w:p>
            <w:r>
              <w:rPr>
                <w:sz w:val="15"/>
              </w:rPr>
              <w:t>TechRxiv</w:t>
            </w:r>
          </w:p>
        </w:tc>
        <w:tc>
          <w:tcPr>
            <w:tcW w:type="dxa" w:w="1152"/>
          </w:tcPr>
          <w:p>
            <w:r>
              <w:rPr>
                <w:sz w:val="15"/>
              </w:rPr>
              <w:t>230</w:t>
            </w:r>
          </w:p>
        </w:tc>
        <w:tc>
          <w:tcPr>
            <w:tcW w:type="dxa" w:w="1584"/>
          </w:tcPr>
          <w:p>
            <w:r>
              <w:rPr>
                <w:sz w:val="15"/>
              </w:rPr>
              <w:t>153</w:t>
            </w:r>
          </w:p>
        </w:tc>
        <w:tc>
          <w:tcPr>
            <w:tcW w:type="dxa" w:w="2160"/>
          </w:tcPr>
          <w:p>
            <w:r>
              <w:rPr>
                <w:sz w:val="15"/>
              </w:rPr>
              <w:t>Yes</w:t>
            </w:r>
          </w:p>
        </w:tc>
      </w:tr>
      <w:tr>
        <w:tc>
          <w:tcPr>
            <w:tcW w:type="dxa" w:w="3744"/>
          </w:tcPr>
          <w:p>
            <w:r>
              <w:rPr>
                <w:sz w:val="15"/>
              </w:rPr>
              <w:t>BSDT Framework</w:t>
            </w:r>
          </w:p>
        </w:tc>
        <w:tc>
          <w:tcPr>
            <w:tcW w:type="dxa" w:w="1440"/>
          </w:tcPr>
          <w:p>
            <w:r>
              <w:rPr>
                <w:sz w:val="15"/>
              </w:rPr>
              <w:t>Zenodo</w:t>
            </w:r>
          </w:p>
        </w:tc>
        <w:tc>
          <w:tcPr>
            <w:tcW w:type="dxa" w:w="1152"/>
          </w:tcPr>
          <w:p>
            <w:r>
              <w:rPr>
                <w:sz w:val="15"/>
              </w:rPr>
              <w:t>135</w:t>
            </w:r>
          </w:p>
        </w:tc>
        <w:tc>
          <w:tcPr>
            <w:tcW w:type="dxa" w:w="1584"/>
          </w:tcPr>
          <w:p>
            <w:r>
              <w:rPr>
                <w:sz w:val="15"/>
              </w:rPr>
              <w:t>57</w:t>
            </w:r>
          </w:p>
        </w:tc>
        <w:tc>
          <w:tcPr>
            <w:tcW w:type="dxa" w:w="2160"/>
          </w:tcPr>
          <w:p>
            <w:r>
              <w:rPr>
                <w:sz w:val="15"/>
              </w:rPr>
              <w:t>Yes</w:t>
            </w:r>
          </w:p>
        </w:tc>
      </w:tr>
      <w:tr>
        <w:tc>
          <w:tcPr>
            <w:tcW w:type="dxa" w:w="3744"/>
          </w:tcPr>
          <w:p>
            <w:r>
              <w:rPr>
                <w:sz w:val="15"/>
              </w:rPr>
              <w:t>Geometry of System Collapse</w:t>
            </w:r>
          </w:p>
        </w:tc>
        <w:tc>
          <w:tcPr>
            <w:tcW w:type="dxa" w:w="1440"/>
          </w:tcPr>
          <w:p>
            <w:r>
              <w:rPr>
                <w:sz w:val="15"/>
              </w:rPr>
              <w:t>Zenodo</w:t>
            </w:r>
          </w:p>
        </w:tc>
        <w:tc>
          <w:tcPr>
            <w:tcW w:type="dxa" w:w="1152"/>
          </w:tcPr>
          <w:p>
            <w:r>
              <w:rPr>
                <w:sz w:val="15"/>
              </w:rPr>
              <w:t>—</w:t>
            </w:r>
          </w:p>
        </w:tc>
        <w:tc>
          <w:tcPr>
            <w:tcW w:type="dxa" w:w="1584"/>
          </w:tcPr>
          <w:p>
            <w:r>
              <w:rPr>
                <w:sz w:val="15"/>
              </w:rPr>
              <w:t>—</w:t>
            </w:r>
          </w:p>
        </w:tc>
        <w:tc>
          <w:tcPr>
            <w:tcW w:type="dxa" w:w="2160"/>
          </w:tcPr>
          <w:p>
            <w:r>
              <w:rPr>
                <w:sz w:val="15"/>
              </w:rPr>
              <w:t>Yes</w:t>
            </w:r>
          </w:p>
        </w:tc>
      </w:tr>
      <w:tr>
        <w:tc>
          <w:tcPr>
            <w:tcW w:type="dxa" w:w="3744"/>
          </w:tcPr>
          <w:p>
            <w:r>
              <w:rPr>
                <w:sz w:val="15"/>
              </w:rPr>
              <w:t>Universal Deviation Principle</w:t>
            </w:r>
          </w:p>
        </w:tc>
        <w:tc>
          <w:tcPr>
            <w:tcW w:type="dxa" w:w="1440"/>
          </w:tcPr>
          <w:p>
            <w:r>
              <w:rPr>
                <w:sz w:val="15"/>
              </w:rPr>
              <w:t>Zenodo</w:t>
            </w:r>
          </w:p>
        </w:tc>
        <w:tc>
          <w:tcPr>
            <w:tcW w:type="dxa" w:w="1152"/>
          </w:tcPr>
          <w:p>
            <w:r>
              <w:rPr>
                <w:sz w:val="15"/>
              </w:rPr>
              <w:t>—</w:t>
            </w:r>
          </w:p>
        </w:tc>
        <w:tc>
          <w:tcPr>
            <w:tcW w:type="dxa" w:w="1584"/>
          </w:tcPr>
          <w:p>
            <w:r>
              <w:rPr>
                <w:sz w:val="15"/>
              </w:rPr>
              <w:t>—</w:t>
            </w:r>
          </w:p>
        </w:tc>
        <w:tc>
          <w:tcPr>
            <w:tcW w:type="dxa" w:w="2160"/>
          </w:tcPr>
          <w:p>
            <w:r>
              <w:rPr>
                <w:sz w:val="15"/>
              </w:rPr>
              <w:t>No</w:t>
            </w:r>
          </w:p>
        </w:tc>
      </w:tr>
      <w:tr>
        <w:tc>
          <w:tcPr>
            <w:tcW w:type="dxa" w:w="3744"/>
          </w:tcPr>
          <w:p>
            <w:r>
              <w:rPr>
                <w:sz w:val="15"/>
              </w:rPr>
            </w:r>
            <w:r>
              <w:rPr>
                <w:b/>
                <w:sz w:val="15"/>
              </w:rPr>
              <w:t>Total</w:t>
            </w:r>
            <w:r>
              <w:rPr>
                <w:sz w:val="15"/>
              </w:rPr>
            </w:r>
          </w:p>
        </w:tc>
        <w:tc>
          <w:tcPr>
            <w:tcW w:type="dxa" w:w="1440"/>
          </w:tcPr>
          <w:p>
            <w:r>
              <w:rPr>
                <w:sz w:val="15"/>
              </w:rPr>
              <w:t>—</w:t>
            </w:r>
          </w:p>
        </w:tc>
        <w:tc>
          <w:tcPr>
            <w:tcW w:type="dxa" w:w="1152"/>
          </w:tcPr>
          <w:p>
            <w:r>
              <w:rPr>
                <w:sz w:val="15"/>
              </w:rPr>
            </w:r>
            <w:r>
              <w:rPr>
                <w:b/>
                <w:sz w:val="15"/>
              </w:rPr>
              <w:t>365</w:t>
            </w:r>
            <w:r>
              <w:rPr>
                <w:sz w:val="15"/>
              </w:rPr>
            </w:r>
          </w:p>
        </w:tc>
        <w:tc>
          <w:tcPr>
            <w:tcW w:type="dxa" w:w="1584"/>
          </w:tcPr>
          <w:p>
            <w:r>
              <w:rPr>
                <w:sz w:val="15"/>
              </w:rPr>
            </w:r>
            <w:r>
              <w:rPr>
                <w:b/>
                <w:sz w:val="15"/>
              </w:rPr>
              <w:t>210</w:t>
            </w:r>
            <w:r>
              <w:rPr>
                <w:sz w:val="15"/>
              </w:rPr>
            </w:r>
          </w:p>
        </w:tc>
        <w:tc>
          <w:tcPr>
            <w:tcW w:type="dxa" w:w="2160"/>
          </w:tcPr>
          <w:p>
            <w:r>
              <w:rPr>
                <w:sz w:val="15"/>
              </w:rPr>
            </w:r>
            <w:r>
              <w:rPr>
                <w:b/>
                <w:sz w:val="15"/>
              </w:rPr>
              <w:t>3 of 4</w:t>
            </w:r>
            <w:r>
              <w:rPr>
                <w:sz w:val="15"/>
              </w:rPr>
            </w:r>
          </w:p>
        </w:tc>
      </w:tr>
    </w:tbl>
    <w:p>
      <w:pPr>
        <w:spacing w:after="40"/>
      </w:pPr>
    </w:p>
    <w:p>
      <w:pPr>
        <w:spacing w:after="20"/>
      </w:pPr>
      <w:r>
        <w:rPr>
          <w:i/>
          <w:color w:val="444444"/>
          <w:sz w:val="14"/>
        </w:rPr>
        <w:t>Table 1: Four-paper research impact. Three of four papers independently selected for CPE 604 postgraduate teaching. 365 views and 210 downloads across TechRxiv and Zenodo in under ten weeks, entirely organic.</w:t>
      </w:r>
    </w:p>
    <w:p>
      <w:pPr>
        <w:spacing w:after="40"/>
      </w:pPr>
      <w:r>
        <w:t>The view and download counts are independently verifiable at the DOI pages listed above. The platform analytics are public and not controlled by the author. The academic adoption record is documented separately in OC4-3 with the signed confirmation letter and CPE 604 course slides.</w:t>
      </w:r>
    </w:p>
    <w:p>
      <w:pPr>
        <w:spacing w:after="40"/>
      </w:pPr>
      <w:r>
        <w:t>Limit of claim: these are open preprints/archive publications rather than journal-accepted papers. Their evidential value comes from public DOI records, organic readership metrics, and independent selection into postgraduate teaching by a named external academic, not from an asserted peer-review status.</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