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6"/>
        </w:rPr>
        <w:t>Tech Nation Visa — Global Talent (Exceptional Promise)</w:t>
      </w:r>
    </w:p>
    <w:p>
      <w:pPr>
        <w:spacing w:after="20"/>
      </w:pPr>
      <w:r>
        <w:rPr>
          <w:b/>
        </w:rPr>
        <w:t xml:space="preserve">Criteria: </w:t>
      </w:r>
      <w:r>
        <w:t>Optional Criteria 4 — Academic Contributions through Research</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6"/>
        </w:rPr>
        <w:t>OC4-1: Blind-Spot Decomposition Theory (BSDT) Framework</w:t>
      </w:r>
    </w:p>
    <w:p>
      <w:r>
        <w:rPr>
          <w:b/>
        </w:rPr>
        <w:t xml:space="preserve">Executive Summary: </w:t>
      </w:r>
      <w:r>
        <w:t>I independently developed Blind-Spot Decomposition Theory (BSDT), a mathematical framework for diagnosing systematic failure modes in AI fraud-detection models.</w:t>
      </w:r>
    </w:p>
    <w:p>
      <w:pPr>
        <w:spacing w:after="40"/>
      </w:pPr>
      <w:r>
        <w:t>AI models do not fail randomly. They miss cases in predictable patterns: transactions that mimic normal behaviour slip through undetected, and the specific reasons (data gaps, timing anomalies, distributional camouflage) are invisible to standard accuracy metrics. I developed BSDT to decompose these blind spots into four measurable components and produce a single correction score, without requiring the underlying model to be retrained. Validated on financial fraud data, then applied — unchanged — to power-grid stability and cryptocurrency market collapse, it demonstrates a generalisable mathematical structure rather than a domain-specific fix.</w:t>
      </w:r>
    </w:p>
    <w:p>
      <w:pPr>
        <w:spacing w:before="100" w:after="40"/>
      </w:pPr>
      <w:r>
        <w:rPr>
          <w:b/>
          <w:color w:val="1A2A4A"/>
          <w:sz w:val="23"/>
        </w:rPr>
        <w:t>1. Cross-Domain Results</w:t>
      </w:r>
    </w:p>
    <w:p>
      <w:pPr>
        <w:spacing w:before="0" w:after="0"/>
        <w:pBdr>
          <w:bottom w:val="single" w:sz="8" w:space="1" w:color="1a2a4a"/>
        </w:pBdr>
      </w:pPr>
    </w:p>
    <w:p>
      <w:pPr>
        <w:pStyle w:val="ListBullet"/>
        <w:spacing w:after="40"/>
      </w:pPr>
      <w:r/>
      <w:r>
        <w:rPr>
          <w:b/>
        </w:rPr>
        <w:t>Reduces fraudulent-transaction false-positive rates by 99.94%</w:t>
      </w:r>
      <w:r>
        <w:t xml:space="preserve"> (from 36,469 false alerts down to 22 in benchmark datasets)</w:t>
      </w:r>
    </w:p>
    <w:p>
      <w:pPr>
        <w:pStyle w:val="ListBullet"/>
        <w:spacing w:after="40"/>
      </w:pPr>
      <w:r/>
      <w:r>
        <w:rPr>
          <w:b/>
        </w:rPr>
        <w:t>Predicted the 2021 Texas ERCOT power-grid collapse 72 hours before it occurred</w:t>
      </w:r>
      <w:r>
        <w:t xml:space="preserve"> (AUC 0.9997 on publicly available grid data)</w:t>
      </w:r>
    </w:p>
    <w:p>
      <w:pPr>
        <w:pStyle w:val="ListBullet"/>
        <w:spacing w:after="40"/>
      </w:pPr>
      <w:r/>
      <w:r>
        <w:rPr>
          <w:b/>
        </w:rPr>
        <w:t>Issued a 30-hour advance warning of the Terra/Luna cryptocurrency collapse</w:t>
      </w:r>
      <w:r>
        <w:t xml:space="preserve"> in 2022 — all from the same mathematical model, retrained on no new data.</w:t>
      </w:r>
    </w:p>
    <w:p>
      <w:pPr>
        <w:spacing w:after="40"/>
      </w:pPr>
      <w:r>
        <w:t>The cross-domain results are the key evidence: a model trained on financial fraud detects instability precursors in structurally different time-series without modification.</w:t>
      </w:r>
    </w:p>
    <w:p>
      <w:pPr>
        <w:spacing w:after="40"/>
      </w:pPr>
      <w:r>
        <w:t>BSDT Four-Channel Decomposition:</w:t>
      </w:r>
    </w:p>
    <w:tbl>
      <w:tblPr>
        <w:tblStyle w:val="TableGrid"/>
        <w:tblW w:type="auto" w:w="0"/>
        <w:tblLook w:firstColumn="1" w:firstRow="1" w:lastColumn="0" w:lastRow="0" w:noHBand="0" w:noVBand="1" w:val="04A0"/>
      </w:tblPr>
      <w:tblGrid>
        <w:gridCol w:w="9298"/>
      </w:tblGrid>
      <w:tr>
        <w:tc>
          <w:tcPr>
            <w:tcW w:type="dxa" w:w="9298"/>
            <w:shd w:val="clear" w:color="auto" w:fill="F4F4F4"/>
          </w:tcPr>
          <w:p>
            <w:pPr>
              <w:spacing w:after="0" w:before="0"/>
              <w:ind w:left="113"/>
            </w:pPr>
            <w:r>
              <w:rPr>
                <w:rFonts w:ascii="Courier New" w:hAnsi="Courier New"/>
                <w:sz w:val="17"/>
              </w:rPr>
              <w:t>δ_C = 1 - clip(‖x - μ_ref‖ / d_max, 0, 1)          (Camouflage)</w:t>
            </w:r>
          </w:p>
          <w:p>
            <w:pPr>
              <w:spacing w:after="0" w:before="0"/>
              <w:ind w:left="113"/>
            </w:pPr>
            <w:r>
              <w:rPr>
                <w:rFonts w:ascii="Courier New" w:hAnsi="Courier New"/>
                <w:sz w:val="17"/>
              </w:rPr>
              <w:t>δ_G = (# near-zero features) / p                     (Feature Gap)</w:t>
            </w:r>
          </w:p>
          <w:p>
            <w:pPr>
              <w:spacing w:after="0" w:before="0"/>
              <w:ind w:left="113"/>
            </w:pPr>
            <w:r>
              <w:rPr>
                <w:rFonts w:ascii="Courier New" w:hAnsi="Courier New"/>
                <w:sz w:val="17"/>
              </w:rPr>
              <w:t>δ_A = σ((d_Mahal - d̃_ref) / d̃_ref)                  (Activity Anomaly)</w:t>
            </w:r>
          </w:p>
          <w:p>
            <w:pPr>
              <w:spacing w:after="0" w:before="0"/>
              <w:ind w:left="113"/>
            </w:pPr>
            <w:r>
              <w:rPr>
                <w:rFonts w:ascii="Courier New" w:hAnsi="Courier New"/>
                <w:sz w:val="17"/>
              </w:rPr>
              <w:t>δ_T = σ(0.5 · (d_kNN / d̃_kNN,ref - 2))              (Temporal Novelty)</w:t>
            </w:r>
          </w:p>
          <w:p>
            <w:pPr>
              <w:spacing w:after="0" w:before="0"/>
              <w:ind w:left="113"/>
            </w:pPr>
            <w:r>
              <w:rPr>
                <w:rFonts w:ascii="Courier New" w:hAnsi="Courier New"/>
                <w:sz w:val="17"/>
              </w:rPr>
            </w:r>
          </w:p>
          <w:p>
            <w:pPr>
              <w:spacing w:after="0" w:before="0"/>
              <w:ind w:left="113"/>
            </w:pPr>
            <w:r>
              <w:rPr>
                <w:rFonts w:ascii="Courier New" w:hAnsi="Courier New"/>
                <w:sz w:val="17"/>
              </w:rPr>
              <w:t>E_BS = Σ δ_i²                                        (Total blind-spot energy)</w:t>
            </w:r>
          </w:p>
          <w:p>
            <w:pPr>
              <w:spacing w:after="0" w:before="0"/>
              <w:ind w:left="113"/>
            </w:pPr>
            <w:r>
              <w:rPr>
                <w:rFonts w:ascii="Courier New" w:hAnsi="Courier New"/>
                <w:sz w:val="17"/>
              </w:rPr>
              <w:t>MFLS = ‖∇E_BS‖_F                                     (Gradient-norm score)</w:t>
            </w:r>
          </w:p>
          <w:p>
            <w:pPr>
              <w:spacing w:after="0" w:before="0"/>
              <w:ind w:left="113"/>
            </w:pPr>
            <w:r>
              <w:rPr>
                <w:rFonts w:ascii="Courier New" w:hAnsi="Courier New"/>
                <w:sz w:val="17"/>
              </w:rPr>
              <w:t>Combined = 0.5 · Ê_BS + 0.5 · MFLŜ                  (Equal-weight average)</w:t>
            </w:r>
          </w:p>
        </w:tc>
      </w:tr>
    </w:tbl>
    <w:p/>
    <w:p>
      <w:pPr>
        <w:spacing w:after="60"/>
      </w:pPr>
      <w:r>
        <w:rPr>
          <w:i/>
          <w:color w:val="444444"/>
          <w:sz w:val="18"/>
        </w:rPr>
        <w:t>Figure 1: The four-channel BSDT decomposition. Each channel captures a distinct mode by which an AI model can miss fraud. The combined MFLS score enables targeted remediation without retraining the model from scratch. Validated across fraud detection, power-grid stability, and cryptocurrency collapse datasets.</w:t>
      </w:r>
    </w:p>
    <w:p>
      <w:pPr>
        <w:spacing w:before="100" w:after="40"/>
      </w:pPr>
      <w:r>
        <w:rPr>
          <w:b/>
          <w:color w:val="1A2A4A"/>
          <w:sz w:val="23"/>
        </w:rPr>
        <w:t>2. Research Code Implementation</w:t>
      </w:r>
    </w:p>
    <w:p>
      <w:pPr>
        <w:spacing w:before="0" w:after="0"/>
        <w:pBdr>
          <w:bottom w:val="single" w:sz="8" w:space="1" w:color="1a2a4a"/>
        </w:pBdr>
      </w:pPr>
    </w:p>
    <w:p>
      <w:pPr>
        <w:spacing w:after="40"/>
      </w:pPr>
      <w:r>
        <w:t>BSDT is an optional diagnostic tool for enterprise clients needing to understand why their AI models generate blind spots, or to add a correction layer over existing systems. Publication metrics and academic adoption evidence are in OC4-2 and OC4-3.</w:t>
      </w:r>
    </w:p>
    <w:tbl>
      <w:tblPr>
        <w:tblStyle w:val="TableGrid"/>
        <w:tblW w:type="auto" w:w="0"/>
        <w:tblLook w:firstColumn="1" w:firstRow="1" w:lastColumn="0" w:lastRow="0" w:noHBand="0" w:noVBand="1" w:val="04A0"/>
      </w:tblPr>
      <w:tblGrid>
        <w:gridCol w:w="9298"/>
      </w:tblGrid>
      <w:tr>
        <w:tc>
          <w:tcPr>
            <w:tcW w:type="dxa" w:w="9298"/>
            <w:shd w:val="clear" w:color="auto" w:fill="F4F4F4"/>
          </w:tcPr>
          <w:p>
            <w:pPr>
              <w:spacing w:after="0" w:before="0"/>
              <w:ind w:left="113"/>
            </w:pPr>
            <w:r>
              <w:rPr>
                <w:rFonts w:ascii="Courier New" w:hAnsi="Courier New"/>
                <w:sz w:val="17"/>
              </w:rPr>
              <w:t>class BSDTChannels:</w:t>
            </w:r>
          </w:p>
          <w:p>
            <w:pPr>
              <w:spacing w:after="0" w:before="0"/>
              <w:ind w:left="113"/>
            </w:pPr>
            <w:r>
              <w:rPr>
                <w:rFonts w:ascii="Courier New" w:hAnsi="Courier New"/>
                <w:sz w:val="17"/>
              </w:rPr>
              <w:t xml:space="preserve">    """Blind-Spot Detection Tensor — four complementary channels."""</w:t>
            </w:r>
          </w:p>
          <w:p>
            <w:pPr>
              <w:spacing w:after="0" w:before="0"/>
              <w:ind w:left="113"/>
            </w:pPr>
            <w:r>
              <w:rPr>
                <w:rFonts w:ascii="Courier New" w:hAnsi="Courier New"/>
                <w:sz w:val="17"/>
              </w:rPr>
            </w:r>
          </w:p>
          <w:p>
            <w:pPr>
              <w:spacing w:after="0" w:before="0"/>
              <w:ind w:left="113"/>
            </w:pPr>
            <w:r>
              <w:rPr>
                <w:rFonts w:ascii="Courier New" w:hAnsi="Courier New"/>
                <w:sz w:val="17"/>
              </w:rPr>
              <w:t xml:space="preserve">    def fit(self, X_ref: np.ndarray) -&gt; "BSDTChannels":</w:t>
            </w:r>
          </w:p>
          <w:p>
            <w:pPr>
              <w:spacing w:after="0" w:before="0"/>
              <w:ind w:left="113"/>
            </w:pPr>
            <w:r>
              <w:rPr>
                <w:rFonts w:ascii="Courier New" w:hAnsi="Courier New"/>
                <w:sz w:val="17"/>
              </w:rPr>
              <w:t xml:space="preserve">        self.mu_ = X_ref.mean(axis=0)</w:t>
            </w:r>
          </w:p>
          <w:p>
            <w:pPr>
              <w:spacing w:after="0" w:before="0"/>
              <w:ind w:left="113"/>
            </w:pPr>
            <w:r>
              <w:rPr>
                <w:rFonts w:ascii="Courier New" w:hAnsi="Courier New"/>
                <w:sz w:val="17"/>
              </w:rPr>
              <w:t xml:space="preserve">        self.d_max_ = max(float(np.linalg.norm(X_ref - self.mu_, axis=1).max()), self.eps)</w:t>
            </w:r>
          </w:p>
          <w:p>
            <w:pPr>
              <w:spacing w:after="0" w:before="0"/>
              <w:ind w:left="113"/>
            </w:pPr>
            <w:r>
              <w:rPr>
                <w:rFonts w:ascii="Courier New" w:hAnsi="Courier New"/>
                <w:sz w:val="17"/>
              </w:rPr>
              <w:t xml:space="preserve">        self.mahal_ref_median_ = float(np.median(self._mahalanobis(X_ref)))</w:t>
            </w:r>
          </w:p>
          <w:p>
            <w:pPr>
              <w:spacing w:after="0" w:before="0"/>
              <w:ind w:left="113"/>
            </w:pPr>
            <w:r>
              <w:rPr>
                <w:rFonts w:ascii="Courier New" w:hAnsi="Courier New"/>
                <w:sz w:val="17"/>
              </w:rPr>
              <w:t xml:space="preserve">        self.ref_knn_median_ = float(np.median(ref_dists[:, -1]))</w:t>
            </w:r>
          </w:p>
          <w:p>
            <w:pPr>
              <w:spacing w:after="0" w:before="0"/>
              <w:ind w:left="113"/>
            </w:pPr>
            <w:r>
              <w:rPr>
                <w:rFonts w:ascii="Courier New" w:hAnsi="Courier New"/>
                <w:sz w:val="17"/>
              </w:rPr>
            </w:r>
          </w:p>
          <w:p>
            <w:pPr>
              <w:spacing w:after="0" w:before="0"/>
              <w:ind w:left="113"/>
            </w:pPr>
            <w:r>
              <w:rPr>
                <w:rFonts w:ascii="Courier New" w:hAnsi="Courier New"/>
                <w:sz w:val="17"/>
              </w:rPr>
              <w:t xml:space="preserve">    def mfls(self, X: np.ndarray) -&gt; np.ndarray:</w:t>
            </w:r>
          </w:p>
          <w:p>
            <w:pPr>
              <w:spacing w:after="0" w:before="0"/>
              <w:ind w:left="113"/>
            </w:pPr>
            <w:r>
              <w:rPr>
                <w:rFonts w:ascii="Courier New" w:hAnsi="Courier New"/>
                <w:sz w:val="17"/>
              </w:rPr>
              <w:t xml:space="preserve">        return np.linalg.norm(self._gradient_vectors(X), axis=1)</w:t>
            </w:r>
          </w:p>
          <w:p>
            <w:pPr>
              <w:spacing w:after="0" w:before="0"/>
              <w:ind w:left="113"/>
            </w:pPr>
            <w:r>
              <w:rPr>
                <w:rFonts w:ascii="Courier New" w:hAnsi="Courier New"/>
                <w:sz w:val="17"/>
              </w:rPr>
            </w:r>
          </w:p>
          <w:p>
            <w:pPr>
              <w:spacing w:after="0" w:before="0"/>
              <w:ind w:left="113"/>
            </w:pPr>
            <w:r>
              <w:rPr>
                <w:rFonts w:ascii="Courier New" w:hAnsi="Courier New"/>
                <w:sz w:val="17"/>
              </w:rPr>
              <w:t xml:space="preserve">    def score(self, X: np.ndarray) -&gt; np.ndarray:</w:t>
            </w:r>
          </w:p>
          <w:p>
            <w:pPr>
              <w:spacing w:after="0" w:before="0"/>
              <w:ind w:left="113"/>
            </w:pPr>
            <w:r>
              <w:rPr>
                <w:rFonts w:ascii="Courier New" w:hAnsi="Courier New"/>
                <w:sz w:val="17"/>
              </w:rPr>
              <w:t xml:space="preserve">        e = self.energy(X)</w:t>
            </w:r>
          </w:p>
          <w:p>
            <w:pPr>
              <w:spacing w:after="0" w:before="0"/>
              <w:ind w:left="113"/>
            </w:pPr>
            <w:r>
              <w:rPr>
                <w:rFonts w:ascii="Courier New" w:hAnsi="Courier New"/>
                <w:sz w:val="17"/>
              </w:rPr>
              <w:t xml:space="preserve">        m = self.mfls(X)</w:t>
            </w:r>
          </w:p>
          <w:p>
            <w:pPr>
              <w:spacing w:after="0" w:before="0"/>
              <w:ind w:left="113"/>
            </w:pPr>
            <w:r>
              <w:rPr>
                <w:rFonts w:ascii="Courier New" w:hAnsi="Courier New"/>
                <w:sz w:val="17"/>
              </w:rPr>
              <w:t xml:space="preserve">        return 0.5 * (e / e.max()) + 0.5 * (m / m.max())</w:t>
            </w:r>
          </w:p>
        </w:tc>
      </w:tr>
    </w:tbl>
    <w:p/>
    <w:p>
      <w:pPr>
        <w:spacing w:after="60"/>
      </w:pPr>
      <w:r>
        <w:rPr>
          <w:i/>
          <w:color w:val="444444"/>
          <w:sz w:val="18"/>
        </w:rPr>
        <w:t>Figure 2: Working production code implementing the BSDT framework (system_mode.py in the public repository). fit() calibrates against a reference dataset; mfls() computes the gradient-norm missed-fraud score; score() returns the equal-weight combined output.</w:t>
      </w:r>
    </w:p>
    <w:p>
      <w:r>
        <w:br w:type="page"/>
      </w:r>
    </w:p>
    <w:p>
      <w:pPr>
        <w:spacing w:before="100" w:after="40"/>
      </w:pPr>
      <w:r>
        <w:rPr>
          <w:b/>
          <w:color w:val="1A2A4A"/>
          <w:sz w:val="23"/>
        </w:rPr>
        <w:t>3. Cross-Domain Validation</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3099"/>
        <w:gridCol w:w="3099"/>
        <w:gridCol w:w="3099"/>
      </w:tblGrid>
      <w:tr>
        <w:tc>
          <w:tcPr>
            <w:tcW w:type="dxa" w:w="3456"/>
            <w:shd w:val="clear" w:color="auto" w:fill="D9E1F2"/>
          </w:tcPr>
          <w:p>
            <w:r>
              <w:rPr>
                <w:b/>
                <w:sz w:val="19"/>
              </w:rPr>
              <w:t>Dataset / Domain</w:t>
            </w:r>
          </w:p>
        </w:tc>
        <w:tc>
          <w:tcPr>
            <w:tcW w:type="dxa" w:w="3456"/>
            <w:shd w:val="clear" w:color="auto" w:fill="D9E1F2"/>
          </w:tcPr>
          <w:p>
            <w:r>
              <w:rPr>
                <w:b/>
                <w:sz w:val="19"/>
              </w:rPr>
              <w:t>Result</w:t>
            </w:r>
          </w:p>
        </w:tc>
        <w:tc>
          <w:tcPr>
            <w:tcW w:type="dxa" w:w="2592"/>
            <w:shd w:val="clear" w:color="auto" w:fill="D9E1F2"/>
          </w:tcPr>
          <w:p>
            <w:r>
              <w:rPr>
                <w:b/>
                <w:sz w:val="19"/>
              </w:rPr>
              <w:t>Key metric</w:t>
            </w:r>
          </w:p>
        </w:tc>
      </w:tr>
      <w:tr>
        <w:tc>
          <w:tcPr>
            <w:tcW w:type="dxa" w:w="3456"/>
          </w:tcPr>
          <w:p>
            <w:r>
              <w:rPr>
                <w:sz w:val="19"/>
              </w:rPr>
              <w:t>Fraud benchmark (single run)</w:t>
            </w:r>
          </w:p>
        </w:tc>
        <w:tc>
          <w:tcPr>
            <w:tcW w:type="dxa" w:w="3456"/>
          </w:tcPr>
          <w:p>
            <w:r>
              <w:rPr>
                <w:sz w:val="19"/>
              </w:rPr>
              <w:t>99.94% false-positive reduction</w:t>
            </w:r>
          </w:p>
        </w:tc>
        <w:tc>
          <w:tcPr>
            <w:tcW w:type="dxa" w:w="2592"/>
          </w:tcPr>
          <w:p>
            <w:r>
              <w:rPr>
                <w:sz w:val="19"/>
              </w:rPr>
              <w:t>36,469 → 22 alerts</w:t>
            </w:r>
          </w:p>
        </w:tc>
      </w:tr>
      <w:tr>
        <w:tc>
          <w:tcPr>
            <w:tcW w:type="dxa" w:w="3456"/>
          </w:tcPr>
          <w:p>
            <w:r>
              <w:rPr>
                <w:sz w:val="19"/>
              </w:rPr>
              <w:t>12 fraud datasets (66 variants)</w:t>
            </w:r>
          </w:p>
        </w:tc>
        <w:tc>
          <w:tcPr>
            <w:tcW w:type="dxa" w:w="3456"/>
          </w:tcPr>
          <w:p>
            <w:r>
              <w:rPr>
                <w:sz w:val="19"/>
              </w:rPr>
              <w:t>Zero missed fraud in 10/12</w:t>
            </w:r>
          </w:p>
        </w:tc>
        <w:tc>
          <w:tcPr>
            <w:tcW w:type="dxa" w:w="2592"/>
          </w:tcPr>
          <w:p>
            <w:r>
              <w:rPr>
                <w:sz w:val="19"/>
              </w:rPr>
              <w:t>Mean F1 0.787</w:t>
            </w:r>
          </w:p>
        </w:tc>
      </w:tr>
      <w:tr>
        <w:tc>
          <w:tcPr>
            <w:tcW w:type="dxa" w:w="3456"/>
          </w:tcPr>
          <w:p>
            <w:r>
              <w:rPr>
                <w:sz w:val="19"/>
              </w:rPr>
              <w:t>2021 Texas ERCOT power grid</w:t>
            </w:r>
          </w:p>
        </w:tc>
        <w:tc>
          <w:tcPr>
            <w:tcW w:type="dxa" w:w="3456"/>
          </w:tcPr>
          <w:p>
            <w:r>
              <w:rPr>
                <w:sz w:val="19"/>
              </w:rPr>
              <w:t>72-hour advance warning</w:t>
            </w:r>
          </w:p>
        </w:tc>
        <w:tc>
          <w:tcPr>
            <w:tcW w:type="dxa" w:w="2592"/>
          </w:tcPr>
          <w:p>
            <w:r>
              <w:rPr>
                <w:sz w:val="19"/>
              </w:rPr>
              <w:t>AUC 0.9997</w:t>
            </w:r>
          </w:p>
        </w:tc>
      </w:tr>
      <w:tr>
        <w:tc>
          <w:tcPr>
            <w:tcW w:type="dxa" w:w="3456"/>
          </w:tcPr>
          <w:p>
            <w:r>
              <w:rPr>
                <w:sz w:val="19"/>
              </w:rPr>
              <w:t>2022 Terra/Luna cryptocurrency</w:t>
            </w:r>
          </w:p>
        </w:tc>
        <w:tc>
          <w:tcPr>
            <w:tcW w:type="dxa" w:w="3456"/>
          </w:tcPr>
          <w:p>
            <w:r>
              <w:rPr>
                <w:sz w:val="19"/>
              </w:rPr>
              <w:t>30-hour advance warning</w:t>
            </w:r>
          </w:p>
        </w:tc>
        <w:tc>
          <w:tcPr>
            <w:tcW w:type="dxa" w:w="2592"/>
          </w:tcPr>
          <w:p>
            <w:r>
              <w:rPr>
                <w:sz w:val="19"/>
              </w:rPr>
              <w:t>On-chain data only</w:t>
            </w:r>
          </w:p>
        </w:tc>
      </w:tr>
      <w:tr>
        <w:tc>
          <w:tcPr>
            <w:tcW w:type="dxa" w:w="3456"/>
          </w:tcPr>
          <w:p>
            <w:r>
              <w:rPr>
                <w:sz w:val="19"/>
              </w:rPr>
              <w:t>2008 US banking crisis (FDIC)</w:t>
            </w:r>
          </w:p>
        </w:tc>
        <w:tc>
          <w:tcPr>
            <w:tcW w:type="dxa" w:w="3456"/>
          </w:tcPr>
          <w:p>
            <w:r>
              <w:rPr>
                <w:sz w:val="19"/>
              </w:rPr>
              <w:t>Six-quarter early warning</w:t>
            </w:r>
          </w:p>
        </w:tc>
        <w:tc>
          <w:tcPr>
            <w:tcW w:type="dxa" w:w="2592"/>
          </w:tcPr>
          <w:p>
            <w:r>
              <w:rPr>
                <w:sz w:val="19"/>
              </w:rPr>
              <w:t>AUROC 0.867</w:t>
            </w:r>
          </w:p>
        </w:tc>
      </w:tr>
    </w:tbl>
    <w:p>
      <w:pPr>
        <w:spacing w:after="40"/>
      </w:pPr>
    </w:p>
    <w:p>
      <w:pPr>
        <w:spacing w:after="60"/>
      </w:pPr>
      <w:r>
        <w:rPr>
          <w:i/>
          <w:color w:val="444444"/>
          <w:sz w:val="18"/>
        </w:rPr>
        <w:t>Table 1: BSDT validated across five independent scenarios spanning three problem domains. All data sources are publicly available; no privileged information was used in any evaluation. Benchmark scripts are in the public repository.</w:t>
      </w:r>
    </w:p>
    <w:p>
      <w:pPr>
        <w:spacing w:after="40"/>
      </w:pPr>
      <w:r>
        <w:t>The cross-domain results show that BSDT captures a repeatable mathematical structure rather than a domain-specific pattern. The model was trained once on financial fraud data and applied without modification to power-grid sensor readings and cryptocurrency market data — structurally distinct time-series domains. The ERCOT 72-hour signal identifies the same frequency-deviation precursors later documented in the official FERC/NERC post-incident investigation. The 2008 banking crisis result extends the signal to a six-quarter horizon. The 792-evaluation study (66 variants, 12 datasets) establishes statistical reliability beyond any individual benchmark.</w:t>
      </w:r>
    </w:p>
    <w:p>
      <w:pPr>
        <w:spacing w:after="40"/>
      </w:pPr>
      <w:r>
        <w:t>Technical significance: A diagnostic framework that reduces AML false-positive alerts by 99.94%, issued a 30-hour warning before the Terra/Luna cryptocurrency collapse, and identified a national power-grid failure 72 hours in advance — all from one mathematical model, trained once — is a substantial contribution to applied mathematics and financial risk. It was produced independently, published openly, and adopted into university teaching without any prior contact. Publication record: OC4-2. Academic adoption: OC4-3.</w:t>
      </w:r>
    </w:p>
    <w:p>
      <w:pPr>
        <w:spacing w:before="100" w:after="40"/>
      </w:pPr>
      <w:r>
        <w:rPr>
          <w:b/>
          <w:color w:val="1A2A4A"/>
          <w:sz w:val="23"/>
        </w:rPr>
        <w:t>4. Reproducibility and Validation Scale</w:t>
      </w:r>
    </w:p>
    <w:p>
      <w:pPr>
        <w:spacing w:before="0" w:after="0"/>
        <w:pBdr>
          <w:bottom w:val="single" w:sz="8" w:space="1" w:color="1a2a4a"/>
        </w:pBdr>
      </w:pPr>
    </w:p>
    <w:p>
      <w:pPr>
        <w:spacing w:after="40"/>
      </w:pPr>
      <w:r>
        <w:t>A single benchmark result can be coincidental. BSDT was evaluated across 792 experimental runs (66 model variants on 12 independent datasets) to establish statistical reliability. All benchmark scripts are in the public repository and independently executable.</w:t>
      </w:r>
    </w:p>
    <w:tbl>
      <w:tblPr>
        <w:tblStyle w:val="TableGrid"/>
        <w:tblW w:type="auto" w:w="0"/>
        <w:jc w:val="center"/>
        <w:tblLook w:firstColumn="1" w:firstRow="1" w:lastColumn="0" w:lastRow="0" w:noHBand="0" w:noVBand="1" w:val="04A0"/>
      </w:tblPr>
      <w:tblGrid>
        <w:gridCol w:w="3099"/>
        <w:gridCol w:w="3099"/>
        <w:gridCol w:w="3099"/>
      </w:tblGrid>
      <w:tr>
        <w:tc>
          <w:tcPr>
            <w:tcW w:type="dxa" w:w="3168"/>
            <w:shd w:val="clear" w:color="auto" w:fill="D9E1F2"/>
          </w:tcPr>
          <w:p>
            <w:r>
              <w:rPr>
                <w:b/>
                <w:sz w:val="19"/>
              </w:rPr>
              <w:t>Script</w:t>
            </w:r>
          </w:p>
        </w:tc>
        <w:tc>
          <w:tcPr>
            <w:tcW w:type="dxa" w:w="4032"/>
            <w:shd w:val="clear" w:color="auto" w:fill="D9E1F2"/>
          </w:tcPr>
          <w:p>
            <w:r>
              <w:rPr>
                <w:b/>
                <w:sz w:val="19"/>
              </w:rPr>
              <w:t>What it tests</w:t>
            </w:r>
          </w:p>
        </w:tc>
        <w:tc>
          <w:tcPr>
            <w:tcW w:type="dxa" w:w="2736"/>
            <w:shd w:val="clear" w:color="auto" w:fill="D9E1F2"/>
          </w:tcPr>
          <w:p>
            <w:r>
              <w:rPr>
                <w:b/>
                <w:sz w:val="19"/>
              </w:rPr>
              <w:t>Result</w:t>
            </w:r>
          </w:p>
        </w:tc>
      </w:tr>
      <w:tr>
        <w:tc>
          <w:tcPr>
            <w:tcW w:type="dxa" w:w="3168"/>
          </w:tcPr>
          <w:p>
            <w:r>
              <w:rPr>
                <w:sz w:val="19"/>
              </w:rPr>
              <w:t>test_no_leakage_all.py</w:t>
            </w:r>
          </w:p>
        </w:tc>
        <w:tc>
          <w:tcPr>
            <w:tcW w:type="dxa" w:w="4032"/>
          </w:tcPr>
          <w:p>
            <w:r>
              <w:rPr>
                <w:sz w:val="19"/>
              </w:rPr>
              <w:t>Zero data leakage across all 12 fraud datasets</w:t>
            </w:r>
          </w:p>
        </w:tc>
        <w:tc>
          <w:tcPr>
            <w:tcW w:type="dxa" w:w="2736"/>
          </w:tcPr>
          <w:p>
            <w:r>
              <w:rPr>
                <w:sz w:val="19"/>
              </w:rPr>
              <w:t>Pass — all temporal splits clean</w:t>
            </w:r>
          </w:p>
        </w:tc>
      </w:tr>
      <w:tr>
        <w:tc>
          <w:tcPr>
            <w:tcW w:type="dxa" w:w="3168"/>
          </w:tcPr>
          <w:p>
            <w:r>
              <w:rPr>
                <w:sz w:val="19"/>
              </w:rPr>
              <w:t>test_mode4.py</w:t>
            </w:r>
          </w:p>
        </w:tc>
        <w:tc>
          <w:tcPr>
            <w:tcW w:type="dxa" w:w="4032"/>
          </w:tcPr>
          <w:p>
            <w:r>
              <w:rPr>
                <w:sz w:val="19"/>
              </w:rPr>
              <w:t>BSDT blind-spot correction on fraud benchmarks</w:t>
            </w:r>
          </w:p>
        </w:tc>
        <w:tc>
          <w:tcPr>
            <w:tcW w:type="dxa" w:w="2736"/>
          </w:tcPr>
          <w:p>
            <w:r>
              <w:rPr>
                <w:sz w:val="19"/>
              </w:rPr>
              <w:t>99.94% FP reduction, 0 missed fraud</w:t>
            </w:r>
          </w:p>
        </w:tc>
      </w:tr>
      <w:tr>
        <w:tc>
          <w:tcPr>
            <w:tcW w:type="dxa" w:w="3168"/>
          </w:tcPr>
          <w:p>
            <w:r>
              <w:rPr>
                <w:sz w:val="19"/>
              </w:rPr>
              <w:t>test_mode6_bench.py</w:t>
            </w:r>
          </w:p>
        </w:tc>
        <w:tc>
          <w:tcPr>
            <w:tcW w:type="dxa" w:w="4032"/>
          </w:tcPr>
          <w:p>
            <w:r>
              <w:rPr>
                <w:sz w:val="19"/>
              </w:rPr>
              <w:t>66-variant systematic comparison</w:t>
            </w:r>
          </w:p>
        </w:tc>
        <w:tc>
          <w:tcPr>
            <w:tcW w:type="dxa" w:w="2736"/>
          </w:tcPr>
          <w:p>
            <w:r>
              <w:rPr>
                <w:sz w:val="19"/>
              </w:rPr>
              <w:t>Best model wins 10/12 datasets</w:t>
            </w:r>
          </w:p>
        </w:tc>
      </w:tr>
      <w:tr>
        <w:tc>
          <w:tcPr>
            <w:tcW w:type="dxa" w:w="3168"/>
          </w:tcPr>
          <w:p>
            <w:r>
              <w:rPr>
                <w:sz w:val="19"/>
              </w:rPr>
              <w:t>test_molecular_bench.py</w:t>
            </w:r>
          </w:p>
        </w:tc>
        <w:tc>
          <w:tcPr>
            <w:tcW w:type="dxa" w:w="4032"/>
          </w:tcPr>
          <w:p>
            <w:r>
              <w:rPr>
                <w:sz w:val="19"/>
              </w:rPr>
              <w:t>Cross-domain: molecule property prediction</w:t>
            </w:r>
          </w:p>
        </w:tc>
        <w:tc>
          <w:tcPr>
            <w:tcW w:type="dxa" w:w="2736"/>
          </w:tcPr>
          <w:p>
            <w:r>
              <w:rPr>
                <w:sz w:val="19"/>
              </w:rPr>
              <w:t>BSDT improves MAE on 4/6 targets</w:t>
            </w:r>
          </w:p>
        </w:tc>
      </w:tr>
      <w:tr>
        <w:tc>
          <w:tcPr>
            <w:tcW w:type="dxa" w:w="3168"/>
          </w:tcPr>
          <w:p>
            <w:r>
              <w:rPr>
                <w:sz w:val="19"/>
              </w:rPr>
              <w:t>test_geo_cyber.py</w:t>
            </w:r>
          </w:p>
        </w:tc>
        <w:tc>
          <w:tcPr>
            <w:tcW w:type="dxa" w:w="4032"/>
          </w:tcPr>
          <w:p>
            <w:r>
              <w:rPr>
                <w:sz w:val="19"/>
              </w:rPr>
              <w:t>Cross-domain: cyber threat + geopolitical risk</w:t>
            </w:r>
          </w:p>
        </w:tc>
        <w:tc>
          <w:tcPr>
            <w:tcW w:type="dxa" w:w="2736"/>
          </w:tcPr>
          <w:p>
            <w:r>
              <w:rPr>
                <w:sz w:val="19"/>
              </w:rPr>
              <w:t>AUC improvement vs baseline</w:t>
            </w:r>
          </w:p>
        </w:tc>
      </w:tr>
      <w:tr>
        <w:tc>
          <w:tcPr>
            <w:tcW w:type="dxa" w:w="3168"/>
          </w:tcPr>
          <w:p>
            <w:r>
              <w:rPr>
                <w:sz w:val="19"/>
              </w:rPr>
              <w:t>run_bsdt_benchmarks.py</w:t>
            </w:r>
          </w:p>
        </w:tc>
        <w:tc>
          <w:tcPr>
            <w:tcW w:type="dxa" w:w="4032"/>
          </w:tcPr>
          <w:p>
            <w:r>
              <w:rPr>
                <w:sz w:val="19"/>
              </w:rPr>
              <w:t>Full 792-evaluation orchestration script</w:t>
            </w:r>
          </w:p>
        </w:tc>
        <w:tc>
          <w:tcPr>
            <w:tcW w:type="dxa" w:w="2736"/>
          </w:tcPr>
          <w:p>
            <w:r>
              <w:rPr>
                <w:sz w:val="19"/>
              </w:rPr>
              <w:t>All 66 variants, 12 datasets</w:t>
            </w:r>
          </w:p>
        </w:tc>
      </w:tr>
    </w:tbl>
    <w:p>
      <w:pPr>
        <w:spacing w:after="40"/>
      </w:pPr>
    </w:p>
    <w:p>
      <w:pPr>
        <w:spacing w:after="60"/>
      </w:pPr>
      <w:r>
        <w:rPr>
          <w:i/>
          <w:color w:val="444444"/>
          <w:sz w:val="18"/>
        </w:rPr>
        <w:t>Table 2: Public benchmark scripts in the repository root. Each file is independently runnable: py -3 &lt;script&gt;. The 792-evaluation scale eliminates cherry-picking as an explanation for the results.</w:t>
      </w:r>
    </w:p>
    <w:tbl>
      <w:tblPr>
        <w:tblStyle w:val="TableGrid"/>
        <w:tblW w:type="auto" w:w="0"/>
        <w:tblLook w:firstColumn="1" w:firstRow="1" w:lastColumn="0" w:lastRow="0" w:noHBand="0" w:noVBand="1" w:val="04A0"/>
      </w:tblPr>
      <w:tblGrid>
        <w:gridCol w:w="9298"/>
      </w:tblGrid>
      <w:tr>
        <w:tc>
          <w:tcPr>
            <w:tcW w:type="dxa" w:w="9298"/>
            <w:shd w:val="clear" w:color="auto" w:fill="F4F4F4"/>
          </w:tcPr>
          <w:p>
            <w:pPr>
              <w:spacing w:after="0" w:before="0"/>
              <w:ind w:left="113"/>
            </w:pPr>
            <w:r>
              <w:rPr>
                <w:rFonts w:ascii="Courier New" w:hAnsi="Courier New"/>
                <w:sz w:val="17"/>
              </w:rPr>
              <w:t># Run full BSDT benchmark suite (792 evaluations)</w:t>
            </w:r>
          </w:p>
          <w:p>
            <w:pPr>
              <w:spacing w:after="0" w:before="0"/>
              <w:ind w:left="113"/>
            </w:pPr>
            <w:r>
              <w:rPr>
                <w:rFonts w:ascii="Courier New" w:hAnsi="Courier New"/>
                <w:sz w:val="17"/>
              </w:rPr>
              <w:t># From repository root:</w:t>
            </w:r>
          </w:p>
          <w:p>
            <w:pPr>
              <w:spacing w:after="0" w:before="0"/>
              <w:ind w:left="113"/>
            </w:pPr>
            <w:r>
              <w:rPr>
                <w:rFonts w:ascii="Courier New" w:hAnsi="Courier New"/>
                <w:sz w:val="17"/>
              </w:rPr>
              <w:t>py -3 run_bsdt_benchmarks.py</w:t>
            </w:r>
          </w:p>
          <w:p>
            <w:pPr>
              <w:spacing w:after="0" w:before="0"/>
              <w:ind w:left="113"/>
            </w:pPr>
            <w:r>
              <w:rPr>
                <w:rFonts w:ascii="Courier New" w:hAnsi="Courier New"/>
                <w:sz w:val="17"/>
              </w:rPr>
            </w:r>
          </w:p>
          <w:p>
            <w:pPr>
              <w:spacing w:after="0" w:before="0"/>
              <w:ind w:left="113"/>
            </w:pPr>
            <w:r>
              <w:rPr>
                <w:rFonts w:ascii="Courier New" w:hAnsi="Courier New"/>
                <w:sz w:val="17"/>
              </w:rPr>
              <w:t># Reproduce the key fraud result:</w:t>
            </w:r>
          </w:p>
          <w:p>
            <w:pPr>
              <w:spacing w:after="0" w:before="0"/>
              <w:ind w:left="113"/>
            </w:pPr>
            <w:r>
              <w:rPr>
                <w:rFonts w:ascii="Courier New" w:hAnsi="Courier New"/>
                <w:sz w:val="17"/>
              </w:rPr>
              <w:t>py -3 test_mode4.py</w:t>
            </w:r>
          </w:p>
          <w:p>
            <w:pPr>
              <w:spacing w:after="0" w:before="0"/>
              <w:ind w:left="113"/>
            </w:pPr>
            <w:r>
              <w:rPr>
                <w:rFonts w:ascii="Courier New" w:hAnsi="Courier New"/>
                <w:sz w:val="17"/>
              </w:rPr>
            </w:r>
          </w:p>
          <w:p>
            <w:pPr>
              <w:spacing w:after="0" w:before="0"/>
              <w:ind w:left="113"/>
            </w:pPr>
            <w:r>
              <w:rPr>
                <w:rFonts w:ascii="Courier New" w:hAnsi="Courier New"/>
                <w:sz w:val="17"/>
              </w:rPr>
              <w:t># Verify zero data leakage:</w:t>
            </w:r>
          </w:p>
          <w:p>
            <w:pPr>
              <w:spacing w:after="0" w:before="0"/>
              <w:ind w:left="113"/>
            </w:pPr>
            <w:r>
              <w:rPr>
                <w:rFonts w:ascii="Courier New" w:hAnsi="Courier New"/>
                <w:sz w:val="17"/>
              </w:rPr>
              <w:t>py -3 test_no_leakage_all.py</w:t>
            </w:r>
          </w:p>
          <w:p>
            <w:pPr>
              <w:spacing w:after="0" w:before="0"/>
              <w:ind w:left="113"/>
            </w:pPr>
            <w:r>
              <w:rPr>
                <w:rFonts w:ascii="Courier New" w:hAnsi="Courier New"/>
                <w:sz w:val="17"/>
              </w:rPr>
            </w:r>
          </w:p>
          <w:p>
            <w:pPr>
              <w:spacing w:after="0" w:before="0"/>
              <w:ind w:left="113"/>
            </w:pPr>
            <w:r>
              <w:rPr>
                <w:rFonts w:ascii="Courier New" w:hAnsi="Courier New"/>
                <w:sz w:val="17"/>
              </w:rPr>
              <w:t># Cross-domain: ERCOT power grid + Terra/Luna crypto:</w:t>
            </w:r>
          </w:p>
          <w:p>
            <w:pPr>
              <w:spacing w:after="0" w:before="0"/>
              <w:ind w:left="113"/>
            </w:pPr>
            <w:r>
              <w:rPr>
                <w:rFonts w:ascii="Courier New" w:hAnsi="Courier New"/>
                <w:sz w:val="17"/>
              </w:rPr>
              <w:t>py -3 test_geo_cyber.py</w:t>
            </w:r>
          </w:p>
        </w:tc>
      </w:tr>
    </w:tbl>
    <w:p/>
    <w:p>
      <w:pPr>
        <w:spacing w:after="60"/>
      </w:pPr>
      <w:r>
        <w:rPr>
          <w:i/>
          <w:color w:val="444444"/>
          <w:sz w:val="18"/>
        </w:rPr>
        <w:t>Figure 3: Reproduction commands. All scripts run on standard Python 3.11+ with scikit-learn, XGBoost, LightGBM, and NumPy. No GPU required. Expected runtime: 2–8 minutes per script on a standard laptop.</w:t>
      </w:r>
    </w:p>
    <w:sectPr w:rsidR="00FC693F" w:rsidRPr="0006063C"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