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64" w:lineRule="exact" w:before="24" w:after="0"/>
        <w:ind w:left="4" w:right="3312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Tech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Nation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Visa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-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Exceptional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Promise </w:t>
      </w:r>
      <w:r>
        <w:rPr>
          <w:rFonts w:ascii="CMBX10" w:hAnsi="CMBX10" w:eastAsia="CMBX10"/>
          <w:b/>
          <w:i w:val="0"/>
          <w:color w:val="000000"/>
          <w:sz w:val="22"/>
        </w:rPr>
        <w:t>Criteria:</w:t>
      </w:r>
      <w:r>
        <w:rPr>
          <w:rFonts w:ascii="CMR10" w:hAnsi="CMR10" w:eastAsia="CMR10"/>
          <w:b w:val="0"/>
          <w:i w:val="0"/>
          <w:color w:val="000000"/>
          <w:sz w:val="22"/>
        </w:rPr>
        <w:t>Supporting</w:t>
      </w:r>
      <w:r>
        <w:rPr>
          <w:rFonts w:ascii="CMR10" w:hAnsi="CMR10" w:eastAsia="CMR10"/>
          <w:b w:val="0"/>
          <w:i w:val="0"/>
          <w:color w:val="000000"/>
          <w:sz w:val="22"/>
        </w:rPr>
        <w:t>Technical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Evidence </w:t>
      </w:r>
      <w:r>
        <w:br/>
      </w:r>
      <w:r>
        <w:rPr>
          <w:rFonts w:ascii="CMBX10" w:hAnsi="CMBX10" w:eastAsia="CMBX10"/>
          <w:b/>
          <w:i w:val="0"/>
          <w:color w:val="000000"/>
          <w:sz w:val="22"/>
        </w:rPr>
        <w:t>Applicant:</w:t>
      </w:r>
      <w:r>
        <w:rPr>
          <w:rFonts w:ascii="CMR10" w:hAnsi="CMR10" w:eastAsia="CMR10"/>
          <w:b w:val="0"/>
          <w:i w:val="0"/>
          <w:color w:val="000000"/>
          <w:sz w:val="22"/>
        </w:rPr>
        <w:t>Odeyemi</w:t>
      </w:r>
      <w:r>
        <w:rPr>
          <w:rFonts w:ascii="CMR10" w:hAnsi="CMR10" w:eastAsia="CMR10"/>
          <w:b w:val="0"/>
          <w:i w:val="0"/>
          <w:color w:val="000000"/>
          <w:sz w:val="22"/>
        </w:rPr>
        <w:t>Olusegun</w:t>
      </w:r>
      <w:r>
        <w:rPr>
          <w:rFonts w:ascii="CMR10" w:hAnsi="CMR10" w:eastAsia="CMR10"/>
          <w:b w:val="0"/>
          <w:i w:val="0"/>
          <w:color w:val="000000"/>
          <w:sz w:val="22"/>
        </w:rPr>
        <w:t>Israel</w:t>
      </w:r>
    </w:p>
    <w:p>
      <w:pPr>
        <w:autoSpaceDN w:val="0"/>
        <w:autoSpaceDE w:val="0"/>
        <w:widowControl/>
        <w:spacing w:line="434" w:lineRule="exact" w:before="732" w:after="0"/>
        <w:ind w:left="144" w:right="288" w:firstLine="0"/>
        <w:jc w:val="center"/>
      </w:pPr>
      <w:r>
        <w:rPr>
          <w:rFonts w:ascii="CMBX12" w:hAnsi="CMBX12" w:eastAsia="CMBX12"/>
          <w:b/>
          <w:i w:val="0"/>
          <w:color w:val="000000"/>
          <w:sz w:val="41"/>
        </w:rPr>
        <w:t>Evidence</w:t>
      </w:r>
      <w:r>
        <w:rPr>
          <w:rFonts w:ascii="CMBX12" w:hAnsi="CMBX12" w:eastAsia="CMBX12"/>
          <w:b/>
          <w:i w:val="0"/>
          <w:color w:val="000000"/>
          <w:sz w:val="41"/>
        </w:rPr>
        <w:t>3:</w:t>
      </w:r>
      <w:r>
        <w:rPr>
          <w:rFonts w:ascii="CMBX12" w:hAnsi="CMBX12" w:eastAsia="CMBX12"/>
          <w:b/>
          <w:i w:val="0"/>
          <w:color w:val="000000"/>
          <w:sz w:val="41"/>
        </w:rPr>
        <w:t>UK</w:t>
      </w:r>
      <w:r>
        <w:rPr>
          <w:rFonts w:ascii="CMBX12" w:hAnsi="CMBX12" w:eastAsia="CMBX12"/>
          <w:b/>
          <w:i w:val="0"/>
          <w:color w:val="000000"/>
          <w:sz w:val="41"/>
        </w:rPr>
        <w:t>Patent</w:t>
      </w:r>
      <w:r>
        <w:rPr>
          <w:rFonts w:ascii="CMBX12" w:hAnsi="CMBX12" w:eastAsia="CMBX12"/>
          <w:b/>
          <w:i w:val="0"/>
          <w:color w:val="000000"/>
          <w:sz w:val="41"/>
        </w:rPr>
        <w:t>Application</w:t>
      </w:r>
      <w:r>
        <w:rPr>
          <w:rFonts w:ascii="CMBX12" w:hAnsi="CMBX12" w:eastAsia="CMBX12"/>
          <w:b/>
          <w:i w:val="0"/>
          <w:color w:val="000000"/>
          <w:sz w:val="41"/>
        </w:rPr>
        <w:t xml:space="preserve">(IPO </w:t>
      </w:r>
      <w:r>
        <w:rPr>
          <w:rFonts w:ascii="CMBX12" w:hAnsi="CMBX12" w:eastAsia="CMBX12"/>
          <w:b/>
          <w:i w:val="0"/>
          <w:color w:val="000000"/>
          <w:sz w:val="41"/>
        </w:rPr>
        <w:t>Filing)</w:t>
      </w:r>
    </w:p>
    <w:p>
      <w:pPr>
        <w:autoSpaceDN w:val="0"/>
        <w:autoSpaceDE w:val="0"/>
        <w:widowControl/>
        <w:spacing w:line="286" w:lineRule="exact" w:before="896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1.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UK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Intellectual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Property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Filing</w:t>
      </w:r>
    </w:p>
    <w:p>
      <w:pPr>
        <w:autoSpaceDN w:val="0"/>
        <w:autoSpaceDE w:val="0"/>
        <w:widowControl/>
        <w:spacing w:line="272" w:lineRule="exact" w:before="200" w:after="0"/>
        <w:ind w:left="4" w:right="22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protect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advanced</w:t>
      </w:r>
      <w:r>
        <w:rPr>
          <w:rFonts w:ascii="CMR10" w:hAnsi="CMR10" w:eastAsia="CMR10"/>
          <w:b w:val="0"/>
          <w:i w:val="0"/>
          <w:color w:val="000000"/>
          <w:sz w:val="22"/>
        </w:rPr>
        <w:t>machine</w:t>
      </w:r>
      <w:r>
        <w:rPr>
          <w:rFonts w:ascii="CMR10" w:hAnsi="CMR10" w:eastAsia="CMR10"/>
          <w:b w:val="0"/>
          <w:i w:val="0"/>
          <w:color w:val="000000"/>
          <w:sz w:val="22"/>
        </w:rPr>
        <w:t>learning</w:t>
      </w:r>
      <w:r>
        <w:rPr>
          <w:rFonts w:ascii="CMR10" w:hAnsi="CMR10" w:eastAsia="CMR10"/>
          <w:b w:val="0"/>
          <w:i w:val="0"/>
          <w:color w:val="000000"/>
          <w:sz w:val="22"/>
        </w:rPr>
        <w:t>architecture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cryptographic</w:t>
      </w:r>
      <w:r>
        <w:rPr>
          <w:rFonts w:ascii="CMR10" w:hAnsi="CMR10" w:eastAsia="CMR10"/>
          <w:b w:val="0"/>
          <w:i w:val="0"/>
          <w:color w:val="000000"/>
          <w:sz w:val="22"/>
        </w:rPr>
        <w:t>integration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driving 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AMTTP</w:t>
      </w:r>
      <w:r>
        <w:rPr>
          <w:rFonts w:ascii="CMR10" w:hAnsi="CMR10" w:eastAsia="CMR10"/>
          <w:b w:val="0"/>
          <w:i w:val="0"/>
          <w:color w:val="000000"/>
          <w:sz w:val="22"/>
        </w:rPr>
        <w:t>system,</w:t>
      </w:r>
      <w:r>
        <w:rPr>
          <w:rFonts w:ascii="CMR10" w:hAnsi="CMR10" w:eastAsia="CMR10"/>
          <w:b w:val="0"/>
          <w:i w:val="0"/>
          <w:color w:val="000000"/>
          <w:sz w:val="22"/>
        </w:rPr>
        <w:t>I</w:t>
      </w:r>
      <w:r>
        <w:rPr>
          <w:rFonts w:ascii="CMR10" w:hAnsi="CMR10" w:eastAsia="CMR10"/>
          <w:b w:val="0"/>
          <w:i w:val="0"/>
          <w:color w:val="000000"/>
          <w:sz w:val="22"/>
        </w:rPr>
        <w:t>filed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UK</w:t>
      </w:r>
      <w:r>
        <w:rPr>
          <w:rFonts w:ascii="CMR10" w:hAnsi="CMR10" w:eastAsia="CMR10"/>
          <w:b w:val="0"/>
          <w:i w:val="0"/>
          <w:color w:val="000000"/>
          <w:sz w:val="22"/>
        </w:rPr>
        <w:t>patent</w:t>
      </w:r>
      <w:r>
        <w:rPr>
          <w:rFonts w:ascii="CMR10" w:hAnsi="CMR10" w:eastAsia="CMR10"/>
          <w:b w:val="0"/>
          <w:i w:val="0"/>
          <w:color w:val="000000"/>
          <w:sz w:val="22"/>
        </w:rPr>
        <w:t>application</w:t>
      </w:r>
      <w:r>
        <w:rPr>
          <w:rFonts w:ascii="CMR10" w:hAnsi="CMR10" w:eastAsia="CMR10"/>
          <w:b w:val="0"/>
          <w:i w:val="0"/>
          <w:color w:val="000000"/>
          <w:sz w:val="22"/>
        </w:rPr>
        <w:t>via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Intellectual</w:t>
      </w:r>
      <w:r>
        <w:rPr>
          <w:rFonts w:ascii="CMR10" w:hAnsi="CMR10" w:eastAsia="CMR10"/>
          <w:b w:val="0"/>
          <w:i w:val="0"/>
          <w:color w:val="000000"/>
          <w:sz w:val="22"/>
        </w:rPr>
        <w:t>Property</w:t>
      </w:r>
      <w:r>
        <w:rPr>
          <w:rFonts w:ascii="CMR10" w:hAnsi="CMR10" w:eastAsia="CMR10"/>
          <w:b w:val="0"/>
          <w:i w:val="0"/>
          <w:color w:val="000000"/>
          <w:sz w:val="22"/>
        </w:rPr>
        <w:t>Office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(IPO). </w:t>
      </w:r>
      <w:r>
        <w:rPr>
          <w:rFonts w:ascii="CMR10" w:hAnsi="CMR10" w:eastAsia="CMR10"/>
          <w:b w:val="0"/>
          <w:i w:val="0"/>
          <w:color w:val="000000"/>
          <w:sz w:val="22"/>
        </w:rPr>
        <w:t>This</w:t>
      </w:r>
      <w:r>
        <w:rPr>
          <w:rFonts w:ascii="CMR10" w:hAnsi="CMR10" w:eastAsia="CMR10"/>
          <w:b w:val="0"/>
          <w:i w:val="0"/>
          <w:color w:val="000000"/>
          <w:sz w:val="22"/>
        </w:rPr>
        <w:t>filing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evidence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commercial</w:t>
      </w:r>
      <w:r>
        <w:rPr>
          <w:rFonts w:ascii="CMR10" w:hAnsi="CMR10" w:eastAsia="CMR10"/>
          <w:b w:val="0"/>
          <w:i w:val="0"/>
          <w:color w:val="000000"/>
          <w:sz w:val="22"/>
        </w:rPr>
        <w:t>intent</w:t>
      </w:r>
      <w:r>
        <w:rPr>
          <w:rFonts w:ascii="CMR10" w:hAnsi="CMR10" w:eastAsia="CMR10"/>
          <w:b w:val="0"/>
          <w:i w:val="0"/>
          <w:color w:val="000000"/>
          <w:sz w:val="22"/>
        </w:rPr>
        <w:t>and</w:t>
      </w:r>
      <w:r>
        <w:rPr>
          <w:rFonts w:ascii="CMR10" w:hAnsi="CMR10" w:eastAsia="CMR10"/>
          <w:b w:val="0"/>
          <w:i w:val="0"/>
          <w:color w:val="000000"/>
          <w:sz w:val="22"/>
        </w:rPr>
        <w:t>of</w:t>
      </w:r>
      <w:r>
        <w:rPr>
          <w:rFonts w:ascii="CMR10" w:hAnsi="CMR10" w:eastAsia="CMR10"/>
          <w:b w:val="0"/>
          <w:i w:val="0"/>
          <w:color w:val="000000"/>
          <w:sz w:val="22"/>
        </w:rPr>
        <w:t>my</w:t>
      </w:r>
      <w:r>
        <w:rPr>
          <w:rFonts w:ascii="CMR10" w:hAnsi="CMR10" w:eastAsia="CMR10"/>
          <w:b w:val="0"/>
          <w:i w:val="0"/>
          <w:color w:val="000000"/>
          <w:sz w:val="22"/>
        </w:rPr>
        <w:t>effort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protect</w:t>
      </w:r>
      <w:r>
        <w:rPr>
          <w:rFonts w:ascii="CMR10" w:hAnsi="CMR10" w:eastAsia="CMR10"/>
          <w:b w:val="0"/>
          <w:i w:val="0"/>
          <w:color w:val="000000"/>
          <w:sz w:val="22"/>
        </w:rPr>
        <w:t>what</w:t>
      </w:r>
      <w:r>
        <w:rPr>
          <w:rFonts w:ascii="CMR10" w:hAnsi="CMR10" w:eastAsia="CMR10"/>
          <w:b w:val="0"/>
          <w:i w:val="0"/>
          <w:color w:val="000000"/>
          <w:sz w:val="22"/>
        </w:rPr>
        <w:t>I</w:t>
      </w:r>
      <w:r>
        <w:rPr>
          <w:rFonts w:ascii="CMR10" w:hAnsi="CMR10" w:eastAsia="CMR10"/>
          <w:b w:val="0"/>
          <w:i w:val="0"/>
          <w:color w:val="000000"/>
          <w:sz w:val="22"/>
        </w:rPr>
        <w:t>believe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be </w:t>
      </w:r>
      <w:r>
        <w:rPr>
          <w:rFonts w:ascii="CMR10" w:hAnsi="CMR10" w:eastAsia="CMR10"/>
          <w:b w:val="0"/>
          <w:i w:val="0"/>
          <w:color w:val="000000"/>
          <w:sz w:val="22"/>
        </w:rPr>
        <w:t>original</w:t>
      </w:r>
      <w:r>
        <w:rPr>
          <w:rFonts w:ascii="CMR10" w:hAnsi="CMR10" w:eastAsia="CMR10"/>
          <w:b w:val="0"/>
          <w:i w:val="0"/>
          <w:color w:val="000000"/>
          <w:sz w:val="22"/>
        </w:rPr>
        <w:t>technical</w:t>
      </w:r>
      <w:r>
        <w:rPr>
          <w:rFonts w:ascii="CMR10" w:hAnsi="CMR10" w:eastAsia="CMR10"/>
          <w:b w:val="0"/>
          <w:i w:val="0"/>
          <w:color w:val="000000"/>
          <w:sz w:val="22"/>
        </w:rPr>
        <w:t>work</w:t>
      </w:r>
      <w:r>
        <w:rPr>
          <w:rFonts w:ascii="CMR10" w:hAnsi="CMR10" w:eastAsia="CMR10"/>
          <w:b w:val="0"/>
          <w:i w:val="0"/>
          <w:color w:val="000000"/>
          <w:sz w:val="22"/>
        </w:rPr>
        <w:t>developed</w:t>
      </w:r>
      <w:r>
        <w:rPr>
          <w:rFonts w:ascii="CMR10" w:hAnsi="CMR10" w:eastAsia="CMR10"/>
          <w:b w:val="0"/>
          <w:i w:val="0"/>
          <w:color w:val="000000"/>
          <w:sz w:val="22"/>
        </w:rPr>
        <w:t>through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project.</w:t>
      </w:r>
    </w:p>
    <w:p>
      <w:pPr>
        <w:autoSpaceDN w:val="0"/>
        <w:autoSpaceDE w:val="0"/>
        <w:widowControl/>
        <w:spacing w:line="218" w:lineRule="exact" w:before="951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1</w:t>
      </w:r>
    </w:p>
    <w:p>
      <w:pPr>
        <w:sectPr>
          <w:pgSz w:w="11906" w:h="16838"/>
          <w:pgMar w:top="716" w:right="1416" w:bottom="39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8.0000000000001" w:type="dxa"/>
      </w:tblPr>
      <w:tblGrid>
        <w:gridCol w:w="9046"/>
      </w:tblGrid>
      <w:tr>
        <w:trPr>
          <w:trHeight w:hRule="exact" w:val="11368"/>
        </w:trPr>
        <w:tc>
          <w:tcPr>
            <w:tcW w:type="dxa" w:w="807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78560" cy="11442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560" cy="1144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74" w:lineRule="exact" w:before="42" w:after="0"/>
              <w:ind w:left="6624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Concept House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Cardiff Road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Newport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South Wales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NP10 8QQ</w:t>
            </w:r>
          </w:p>
          <w:p>
            <w:pPr>
              <w:autoSpaceDN w:val="0"/>
              <w:autoSpaceDE w:val="0"/>
              <w:widowControl/>
              <w:spacing w:line="160" w:lineRule="exact" w:before="218" w:after="298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Paid Invoice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8.0000000000001" w:type="dxa"/>
            </w:tblPr>
            <w:tblGrid>
              <w:gridCol w:w="2017"/>
              <w:gridCol w:w="2017"/>
              <w:gridCol w:w="2017"/>
              <w:gridCol w:w="2017"/>
            </w:tblGrid>
            <w:tr>
              <w:trPr>
                <w:trHeight w:hRule="exact" w:val="1224"/>
              </w:trPr>
              <w:tc>
                <w:tcPr>
                  <w:tcW w:type="dxa" w:w="38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8.0000000000001" w:type="dxa"/>
                  </w:tblPr>
                  <w:tblGrid>
                    <w:gridCol w:w="3800"/>
                  </w:tblGrid>
                  <w:tr>
                    <w:trPr>
                      <w:trHeight w:hRule="exact" w:val="1030"/>
                    </w:trPr>
                    <w:tc>
                      <w:tcPr>
                        <w:tcW w:type="dxa" w:w="3580"/>
                        <w:tcBorders>
                          <w:start w:sz="4.004700183868408" w:val="single" w:color="#000000"/>
                          <w:top w:sz="4.004700183868408" w:val="single" w:color="#000000"/>
                          <w:end w:sz="4.004700183868408" w:val="single" w:color="#000000"/>
                          <w:bottom w:sz="4.00470018386840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0" w:lineRule="exact" w:before="0" w:after="0"/>
                          <w:ind w:left="26" w:right="1152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2"/>
                          </w:rPr>
                          <w:t xml:space="preserve">Mr Olusegun Odeyemi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2"/>
                          </w:rPr>
                          <w:t xml:space="preserve">Apartment 714 Prosperity House Gower Str 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2"/>
                          </w:rPr>
                          <w:t xml:space="preserve">Derby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2"/>
                          </w:rPr>
                          <w:t xml:space="preserve">Derbyshire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2"/>
                          </w:rPr>
                          <w:t xml:space="preserve">GB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2"/>
                          </w:rPr>
                          <w:t>DE1 1AW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596" w:after="0"/>
                    <w:ind w:left="2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Payment Reference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3B37GJUHMB</w:t>
                  </w:r>
                </w:p>
              </w:tc>
              <w:tc>
                <w:tcPr>
                  <w:tcW w:type="dxa" w:w="17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310" w:after="0"/>
                    <w:ind w:left="12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VAT No : GB 888 8255 50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138" w:after="0"/>
                    <w:ind w:left="2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Invoice Number</w:t>
                  </w:r>
                </w:p>
              </w:tc>
              <w:tc>
                <w:tcPr>
                  <w:tcW w:type="dxa" w:w="2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138" w:after="0"/>
                    <w:ind w:left="15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1026066039</w:t>
                  </w:r>
                </w:p>
              </w:tc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2017"/>
                  <w:vMerge/>
                  <w:tcBorders/>
                </w:tcPr>
                <w:p/>
              </w:tc>
            </w:tr>
            <w:tr>
              <w:trPr>
                <w:trHeight w:hRule="exact" w:val="280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32" w:after="0"/>
                    <w:ind w:left="144" w:right="288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 xml:space="preserve">Customer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Reference</w:t>
                  </w:r>
                </w:p>
              </w:tc>
              <w:tc>
                <w:tcPr>
                  <w:tcW w:type="dxa" w:w="2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92" w:after="0"/>
                    <w:ind w:left="15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1026066039</w:t>
                  </w:r>
                </w:p>
              </w:tc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2017"/>
                  <w:vMerge/>
                  <w:tcBorders/>
                </w:tcPr>
                <w:p/>
              </w:tc>
            </w:tr>
            <w:tr>
              <w:trPr>
                <w:trHeight w:hRule="exact" w:val="226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Invoice Date</w:t>
                  </w:r>
                </w:p>
              </w:tc>
              <w:tc>
                <w:tcPr>
                  <w:tcW w:type="dxa" w:w="2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46" w:after="0"/>
                    <w:ind w:left="15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05 March 2026</w:t>
                  </w:r>
                </w:p>
              </w:tc>
              <w:tc>
                <w:tcPr>
                  <w:tcW w:type="dxa" w:w="2017"/>
                  <w:vMerge/>
                  <w:tcBorders/>
                </w:tcPr>
                <w:p/>
              </w:tc>
              <w:tc>
                <w:tcPr>
                  <w:tcW w:type="dxa" w:w="2017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4.00000000000006" w:type="dxa"/>
            </w:tblPr>
            <w:tblGrid>
              <w:gridCol w:w="1153"/>
              <w:gridCol w:w="1153"/>
              <w:gridCol w:w="1153"/>
              <w:gridCol w:w="1153"/>
              <w:gridCol w:w="1153"/>
              <w:gridCol w:w="1153"/>
              <w:gridCol w:w="1153"/>
            </w:tblGrid>
            <w:tr>
              <w:trPr>
                <w:trHeight w:hRule="exact" w:val="312"/>
              </w:trPr>
              <w:tc>
                <w:tcPr>
                  <w:tcW w:type="dxa" w:w="586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 xml:space="preserve">Line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>Number</w:t>
                  </w:r>
                </w:p>
              </w:tc>
              <w:tc>
                <w:tcPr>
                  <w:tcW w:type="dxa" w:w="245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>Product</w:t>
                  </w:r>
                </w:p>
              </w:tc>
              <w:tc>
                <w:tcPr>
                  <w:tcW w:type="dxa" w:w="1360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>Description</w:t>
                  </w:r>
                </w:p>
              </w:tc>
              <w:tc>
                <w:tcPr>
                  <w:tcW w:type="dxa" w:w="58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>Quantity</w:t>
                  </w:r>
                </w:p>
              </w:tc>
              <w:tc>
                <w:tcPr>
                  <w:tcW w:type="dxa" w:w="78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 xml:space="preserve">Unit Price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>(£)</w:t>
                  </w:r>
                </w:p>
              </w:tc>
              <w:tc>
                <w:tcPr>
                  <w:tcW w:type="dxa" w:w="586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>Vat (%)</w:t>
                  </w:r>
                </w:p>
              </w:tc>
              <w:tc>
                <w:tcPr>
                  <w:tcW w:type="dxa" w:w="78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 xml:space="preserve">Total Price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2"/>
                    </w:rPr>
                    <w:t>(£)</w:t>
                  </w:r>
                </w:p>
              </w:tc>
            </w:tr>
            <w:tr>
              <w:trPr>
                <w:trHeight w:hRule="exact" w:val="196"/>
              </w:trPr>
              <w:tc>
                <w:tcPr>
                  <w:tcW w:type="dxa" w:w="586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</w:t>
                  </w:r>
                </w:p>
              </w:tc>
              <w:tc>
                <w:tcPr>
                  <w:tcW w:type="dxa" w:w="245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4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Request for grant of a patent online</w:t>
                  </w:r>
                </w:p>
              </w:tc>
              <w:tc>
                <w:tcPr>
                  <w:tcW w:type="dxa" w:w="1360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40" w:after="0"/>
                    <w:ind w:left="3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2604718.3</w:t>
                  </w:r>
                </w:p>
              </w:tc>
              <w:tc>
                <w:tcPr>
                  <w:tcW w:type="dxa" w:w="58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</w:t>
                  </w:r>
                </w:p>
              </w:tc>
              <w:tc>
                <w:tcPr>
                  <w:tcW w:type="dxa" w:w="78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40" w:after="0"/>
                    <w:ind w:left="0" w:right="3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60.00</w:t>
                  </w:r>
                </w:p>
              </w:tc>
              <w:tc>
                <w:tcPr>
                  <w:tcW w:type="dxa" w:w="586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40" w:after="0"/>
                    <w:ind w:left="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</w:t>
                  </w:r>
                </w:p>
              </w:tc>
              <w:tc>
                <w:tcPr>
                  <w:tcW w:type="dxa" w:w="78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40" w:after="0"/>
                    <w:ind w:left="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60.00</w:t>
                  </w:r>
                </w:p>
              </w:tc>
            </w:tr>
            <w:tr>
              <w:trPr>
                <w:trHeight w:hRule="exact" w:val="192"/>
              </w:trPr>
              <w:tc>
                <w:tcPr>
                  <w:tcW w:type="dxa" w:w="586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</w:t>
                  </w:r>
                </w:p>
              </w:tc>
              <w:tc>
                <w:tcPr>
                  <w:tcW w:type="dxa" w:w="245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38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Request for cert copy online</w:t>
                  </w:r>
                </w:p>
              </w:tc>
              <w:tc>
                <w:tcPr>
                  <w:tcW w:type="dxa" w:w="1360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38" w:after="0"/>
                    <w:ind w:left="3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2604718.3</w:t>
                  </w:r>
                </w:p>
              </w:tc>
              <w:tc>
                <w:tcPr>
                  <w:tcW w:type="dxa" w:w="58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1</w:t>
                  </w:r>
                </w:p>
              </w:tc>
              <w:tc>
                <w:tcPr>
                  <w:tcW w:type="dxa" w:w="78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38" w:after="0"/>
                    <w:ind w:left="0" w:right="3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20.00</w:t>
                  </w:r>
                </w:p>
              </w:tc>
              <w:tc>
                <w:tcPr>
                  <w:tcW w:type="dxa" w:w="586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38" w:after="0"/>
                    <w:ind w:left="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0</w:t>
                  </w:r>
                </w:p>
              </w:tc>
              <w:tc>
                <w:tcPr>
                  <w:tcW w:type="dxa" w:w="788"/>
                  <w:tcBorders>
                    <w:start w:sz="4.004700183868408" w:val="single" w:color="#000000"/>
                    <w:top w:sz="4.004700183868408" w:val="single" w:color="#000000"/>
                    <w:end w:sz="4.004700183868408" w:val="single" w:color="#000000"/>
                    <w:bottom w:sz="4.00470018386840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38" w:after="0"/>
                    <w:ind w:left="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20.00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18.0" w:type="dxa"/>
            </w:tblPr>
            <w:tblGrid>
              <w:gridCol w:w="4035"/>
              <w:gridCol w:w="4035"/>
            </w:tblGrid>
            <w:tr>
              <w:trPr>
                <w:trHeight w:hRule="exact" w:val="1416"/>
              </w:trPr>
              <w:tc>
                <w:tcPr>
                  <w:tcW w:type="dxa" w:w="4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04" w:after="0"/>
                    <w:ind w:left="0" w:right="60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Total Excluding VAT</w:t>
                  </w:r>
                </w:p>
                <w:p>
                  <w:pPr>
                    <w:autoSpaceDN w:val="0"/>
                    <w:autoSpaceDE w:val="0"/>
                    <w:widowControl/>
                    <w:spacing w:line="120" w:lineRule="exact" w:before="262" w:after="0"/>
                    <w:ind w:left="0" w:right="19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VAT Amount (Out of Scope)</w:t>
                  </w:r>
                </w:p>
                <w:p>
                  <w:pPr>
                    <w:autoSpaceDN w:val="0"/>
                    <w:autoSpaceDE w:val="0"/>
                    <w:widowControl/>
                    <w:spacing w:line="120" w:lineRule="exact" w:before="260" w:after="0"/>
                    <w:ind w:left="0" w:right="64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Total Including VAT</w:t>
                  </w:r>
                </w:p>
                <w:p>
                  <w:pPr>
                    <w:autoSpaceDN w:val="0"/>
                    <w:autoSpaceDE w:val="0"/>
                    <w:widowControl/>
                    <w:spacing w:line="120" w:lineRule="exact" w:before="250" w:after="0"/>
                    <w:ind w:left="0" w:right="78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Payment Method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2.00000000000045" w:type="dxa"/>
                  </w:tblPr>
                  <w:tblGrid>
                    <w:gridCol w:w="1260"/>
                  </w:tblGrid>
                  <w:tr>
                    <w:trPr>
                      <w:trHeight w:hRule="exact" w:val="192"/>
                    </w:trPr>
                    <w:tc>
                      <w:tcPr>
                        <w:tcW w:type="dxa" w:w="788"/>
                        <w:tcBorders>
                          <w:start w:sz="4.004700183868408" w:val="single" w:color="#000000"/>
                          <w:top w:sz="4.004700183868408" w:val="single" w:color="#000000"/>
                          <w:end w:sz="4.004700183868408" w:val="single" w:color="#000000"/>
                          <w:bottom w:sz="4.00470018386840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20" w:lineRule="exact" w:before="38" w:after="0"/>
                          <w:ind w:left="0" w:right="3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2"/>
                          </w:rPr>
                          <w:t>80.00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2.00000000000045" w:type="dxa"/>
                  </w:tblPr>
                  <w:tblGrid>
                    <w:gridCol w:w="1260"/>
                  </w:tblGrid>
                  <w:tr>
                    <w:trPr>
                      <w:trHeight w:hRule="exact" w:val="192"/>
                    </w:trPr>
                    <w:tc>
                      <w:tcPr>
                        <w:tcW w:type="dxa" w:w="788"/>
                        <w:tcBorders>
                          <w:start w:sz="4.004700183868408" w:val="single" w:color="#000000"/>
                          <w:top w:sz="4.004700183868408" w:val="single" w:color="#000000"/>
                          <w:end w:sz="4.004700183868408" w:val="single" w:color="#000000"/>
                          <w:bottom w:sz="4.00470018386840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20" w:lineRule="exact" w:before="38" w:after="0"/>
                          <w:ind w:left="0" w:right="3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2"/>
                          </w:rPr>
                          <w:t>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2.00000000000045" w:type="dxa"/>
                  </w:tblPr>
                  <w:tblGrid>
                    <w:gridCol w:w="1260"/>
                  </w:tblGrid>
                  <w:tr>
                    <w:trPr>
                      <w:trHeight w:hRule="exact" w:val="192"/>
                    </w:trPr>
                    <w:tc>
                      <w:tcPr>
                        <w:tcW w:type="dxa" w:w="788"/>
                        <w:tcBorders>
                          <w:start w:sz="4.004700183868408" w:val="single" w:color="#000000"/>
                          <w:top w:sz="4.004700183868408" w:val="single" w:color="#000000"/>
                          <w:end w:sz="4.004700183868408" w:val="single" w:color="#000000"/>
                          <w:bottom w:sz="4.00470018386840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20" w:lineRule="exact" w:before="38" w:after="0"/>
                          <w:ind w:left="0" w:right="3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2"/>
                          </w:rPr>
                          <w:t>80.00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20" w:lineRule="exact" w:before="212" w:after="0"/>
                    <w:ind w:left="27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2"/>
                    </w:rPr>
                    <w:t>Card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20" w:lineRule="exact" w:before="346" w:after="0"/>
              <w:ind w:left="43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If you have any queries about the above please contact the Intellectual Property Office on +44 (0) 1633 814450 or alternatively email us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at customeraccounts@ipo.gov.uk</w:t>
            </w:r>
          </w:p>
          <w:p>
            <w:pPr>
              <w:autoSpaceDN w:val="0"/>
              <w:tabs>
                <w:tab w:pos="6938" w:val="left"/>
              </w:tabs>
              <w:autoSpaceDE w:val="0"/>
              <w:widowControl/>
              <w:spacing w:line="230" w:lineRule="auto" w:before="2478" w:after="0"/>
              <w:ind w:left="394" w:right="0" w:firstLine="0"/>
              <w:jc w:val="left"/>
            </w:pPr>
            <w:r>
              <w:rPr>
                <w:w w:val="97.08363793113016"/>
                <w:rFonts w:ascii="Arial" w:hAnsi="Arial" w:eastAsia="Arial"/>
                <w:b w:val="0"/>
                <w:i w:val="0"/>
                <w:color w:val="000000"/>
                <w:sz w:val="11"/>
              </w:rPr>
              <w:t xml:space="preserve">Intellectual Property Office is an operating name of the Patent Office </w:t>
            </w:r>
            <w:r>
              <w:tab/>
            </w:r>
            <w:r>
              <w:rPr>
                <w:w w:val="97.08363793113016"/>
                <w:rFonts w:ascii="Arial" w:hAnsi="Arial" w:eastAsia="Arial"/>
                <w:b w:val="0"/>
                <w:i w:val="0"/>
                <w:color w:val="000000"/>
                <w:sz w:val="11"/>
              </w:rPr>
              <w:t>www.gov.uk/ipo</w:t>
            </w:r>
          </w:p>
        </w:tc>
      </w:tr>
    </w:tbl>
    <w:p>
      <w:pPr>
        <w:autoSpaceDN w:val="0"/>
        <w:autoSpaceDE w:val="0"/>
        <w:widowControl/>
        <w:spacing w:line="272" w:lineRule="exact" w:before="232" w:after="0"/>
        <w:ind w:left="0" w:right="0" w:firstLine="0"/>
        <w:jc w:val="left"/>
      </w:pPr>
      <w:r>
        <w:rPr>
          <w:rFonts w:ascii="CMTI10" w:hAnsi="CMTI10" w:eastAsia="CMTI10"/>
          <w:b w:val="0"/>
          <w:i/>
          <w:color w:val="000000"/>
          <w:sz w:val="22"/>
        </w:rPr>
        <w:t>Figure 1:</w:t>
      </w:r>
      <w:r>
        <w:rPr>
          <w:rFonts w:ascii="CMTI10" w:hAnsi="CMTI10" w:eastAsia="CMTI10"/>
          <w:b w:val="0"/>
          <w:i/>
          <w:color w:val="000000"/>
          <w:sz w:val="22"/>
        </w:rPr>
        <w:t>Official UK IPO Patent Application Receipt (Application No.</w:t>
      </w:r>
      <w:r>
        <w:rPr>
          <w:rFonts w:ascii="CMTI10" w:hAnsi="CMTI10" w:eastAsia="CMTI10"/>
          <w:b w:val="0"/>
          <w:i/>
          <w:color w:val="000000"/>
          <w:sz w:val="22"/>
        </w:rPr>
        <w:t xml:space="preserve">1026066039) confirming </w:t>
      </w:r>
      <w:r>
        <w:rPr>
          <w:rFonts w:ascii="CMTI10" w:hAnsi="CMTI10" w:eastAsia="CMTI10"/>
          <w:b w:val="0"/>
          <w:i/>
          <w:color w:val="000000"/>
          <w:sz w:val="22"/>
        </w:rPr>
        <w:t>intellectual</w:t>
      </w:r>
      <w:r>
        <w:rPr>
          <w:rFonts w:ascii="CMTI10" w:hAnsi="CMTI10" w:eastAsia="CMTI10"/>
          <w:b w:val="0"/>
          <w:i/>
          <w:color w:val="000000"/>
          <w:sz w:val="22"/>
        </w:rPr>
        <w:t>property</w:t>
      </w:r>
      <w:r>
        <w:rPr>
          <w:rFonts w:ascii="CMTI10" w:hAnsi="CMTI10" w:eastAsia="CMTI10"/>
          <w:b w:val="0"/>
          <w:i/>
          <w:color w:val="000000"/>
          <w:sz w:val="22"/>
        </w:rPr>
        <w:t>protection</w:t>
      </w:r>
      <w:r>
        <w:rPr>
          <w:rFonts w:ascii="CMTI10" w:hAnsi="CMTI10" w:eastAsia="CMTI10"/>
          <w:b w:val="0"/>
          <w:i/>
          <w:color w:val="000000"/>
          <w:sz w:val="22"/>
        </w:rPr>
        <w:t>for</w:t>
      </w:r>
      <w:r>
        <w:rPr>
          <w:rFonts w:ascii="CMTI10" w:hAnsi="CMTI10" w:eastAsia="CMTI10"/>
          <w:b w:val="0"/>
          <w:i/>
          <w:color w:val="000000"/>
          <w:sz w:val="22"/>
        </w:rPr>
        <w:t>the</w:t>
      </w:r>
      <w:r>
        <w:rPr>
          <w:rFonts w:ascii="CMTI10" w:hAnsi="CMTI10" w:eastAsia="CMTI10"/>
          <w:b w:val="0"/>
          <w:i/>
          <w:color w:val="000000"/>
          <w:sz w:val="22"/>
        </w:rPr>
        <w:t>AMTTP</w:t>
      </w:r>
      <w:r>
        <w:rPr>
          <w:rFonts w:ascii="CMTI10" w:hAnsi="CMTI10" w:eastAsia="CMTI10"/>
          <w:b w:val="0"/>
          <w:i/>
          <w:color w:val="000000"/>
          <w:sz w:val="22"/>
        </w:rPr>
        <w:t>compliance</w:t>
      </w:r>
      <w:r>
        <w:rPr>
          <w:rFonts w:ascii="CMTI10" w:hAnsi="CMTI10" w:eastAsia="CMTI10"/>
          <w:b w:val="0"/>
          <w:i/>
          <w:color w:val="000000"/>
          <w:sz w:val="22"/>
        </w:rPr>
        <w:t>architecture.</w:t>
      </w:r>
    </w:p>
    <w:p>
      <w:pPr>
        <w:autoSpaceDN w:val="0"/>
        <w:tabs>
          <w:tab w:pos="328" w:val="left"/>
          <w:tab w:pos="546" w:val="left"/>
        </w:tabs>
        <w:autoSpaceDE w:val="0"/>
        <w:widowControl/>
        <w:spacing w:line="386" w:lineRule="exact" w:before="310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2.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Summary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Technical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Claims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patent</w:t>
      </w:r>
      <w:r>
        <w:rPr>
          <w:rFonts w:ascii="CMR10" w:hAnsi="CMR10" w:eastAsia="CMR10"/>
          <w:b w:val="0"/>
          <w:i w:val="0"/>
          <w:color w:val="000000"/>
          <w:sz w:val="22"/>
        </w:rPr>
        <w:t>explicitly</w:t>
      </w:r>
      <w:r>
        <w:rPr>
          <w:rFonts w:ascii="CMR10" w:hAnsi="CMR10" w:eastAsia="CMR10"/>
          <w:b w:val="0"/>
          <w:i w:val="0"/>
          <w:color w:val="000000"/>
          <w:sz w:val="22"/>
        </w:rPr>
        <w:t>covers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novel</w:t>
      </w:r>
      <w:r>
        <w:rPr>
          <w:rFonts w:ascii="CMR10" w:hAnsi="CMR10" w:eastAsia="CMR10"/>
          <w:b w:val="0"/>
          <w:i w:val="0"/>
          <w:color w:val="000000"/>
          <w:sz w:val="22"/>
        </w:rPr>
        <w:t>integration</w:t>
      </w:r>
      <w:r>
        <w:rPr>
          <w:rFonts w:ascii="CMR10" w:hAnsi="CMR10" w:eastAsia="CMR10"/>
          <w:b w:val="0"/>
          <w:i w:val="0"/>
          <w:color w:val="000000"/>
          <w:sz w:val="22"/>
        </w:rPr>
        <w:t>methodology</w:t>
      </w:r>
      <w:r>
        <w:rPr>
          <w:rFonts w:ascii="CMR10" w:hAnsi="CMR10" w:eastAsia="CMR10"/>
          <w:b w:val="0"/>
          <w:i w:val="0"/>
          <w:color w:val="000000"/>
          <w:sz w:val="22"/>
        </w:rPr>
        <w:t>where:</w:t>
      </w:r>
      <w:r>
        <w:br/>
      </w:r>
      <w:r>
        <w:tab/>
      </w:r>
      <w:r>
        <w:rPr>
          <w:rFonts w:ascii="F47" w:hAnsi="F47" w:eastAsia="F47"/>
          <w:b w:val="0"/>
          <w:i w:val="0"/>
          <w:color w:val="000000"/>
          <w:sz w:val="22"/>
        </w:rPr>
        <w:t></w:t>
      </w:r>
      <w:r>
        <w:rPr>
          <w:rFonts w:ascii="CMR10" w:hAnsi="CMR10" w:eastAsia="CMR10"/>
          <w:b w:val="0"/>
          <w:i w:val="0"/>
          <w:color w:val="000000"/>
          <w:sz w:val="22"/>
        </w:rPr>
        <w:t>A</w:t>
      </w:r>
      <w:r>
        <w:rPr>
          <w:rFonts w:ascii="CMR10" w:hAnsi="CMR10" w:eastAsia="CMR10"/>
          <w:b w:val="0"/>
          <w:i w:val="0"/>
          <w:color w:val="000000"/>
          <w:sz w:val="22"/>
        </w:rPr>
        <w:t>distilled</w:t>
      </w:r>
      <w:r>
        <w:rPr>
          <w:rFonts w:ascii="CMR10" w:hAnsi="CMR10" w:eastAsia="CMR10"/>
          <w:b w:val="0"/>
          <w:i w:val="0"/>
          <w:color w:val="000000"/>
          <w:sz w:val="22"/>
        </w:rPr>
        <w:t>machine</w:t>
      </w:r>
      <w:r>
        <w:rPr>
          <w:rFonts w:ascii="CMR10" w:hAnsi="CMR10" w:eastAsia="CMR10"/>
          <w:b w:val="0"/>
          <w:i w:val="0"/>
          <w:color w:val="000000"/>
          <w:sz w:val="22"/>
        </w:rPr>
        <w:t>learning</w:t>
      </w:r>
      <w:r>
        <w:rPr>
          <w:rFonts w:ascii="CMR10" w:hAnsi="CMR10" w:eastAsia="CMR10"/>
          <w:b w:val="0"/>
          <w:i w:val="0"/>
          <w:color w:val="000000"/>
          <w:sz w:val="22"/>
        </w:rPr>
        <w:t>student</w:t>
      </w:r>
      <w:r>
        <w:rPr>
          <w:rFonts w:ascii="CMR10" w:hAnsi="CMR10" w:eastAsia="CMR10"/>
          <w:b w:val="0"/>
          <w:i w:val="0"/>
          <w:color w:val="000000"/>
          <w:sz w:val="22"/>
        </w:rPr>
        <w:t>model</w:t>
      </w:r>
      <w:r>
        <w:rPr>
          <w:rFonts w:ascii="CMR10" w:hAnsi="CMR10" w:eastAsia="CMR10"/>
          <w:b w:val="0"/>
          <w:i w:val="0"/>
          <w:color w:val="000000"/>
          <w:sz w:val="22"/>
        </w:rPr>
        <w:t>operates</w:t>
      </w:r>
      <w:r>
        <w:rPr>
          <w:rFonts w:ascii="CMR10" w:hAnsi="CMR10" w:eastAsia="CMR10"/>
          <w:b w:val="0"/>
          <w:i w:val="0"/>
          <w:color w:val="000000"/>
          <w:sz w:val="22"/>
        </w:rPr>
        <w:t>on</w:t>
      </w:r>
      <w:r>
        <w:rPr>
          <w:rFonts w:ascii="CMR10" w:hAnsi="CMR10" w:eastAsia="CMR10"/>
          <w:b w:val="0"/>
          <w:i w:val="0"/>
          <w:color w:val="000000"/>
          <w:sz w:val="22"/>
        </w:rPr>
        <w:t>an</w:t>
      </w:r>
      <w:r>
        <w:rPr>
          <w:rFonts w:ascii="CMR10" w:hAnsi="CMR10" w:eastAsia="CMR10"/>
          <w:b w:val="0"/>
          <w:i w:val="0"/>
          <w:color w:val="000000"/>
          <w:sz w:val="22"/>
        </w:rPr>
        <w:t>off-chain</w:t>
      </w:r>
      <w:r>
        <w:rPr>
          <w:rFonts w:ascii="CMR10" w:hAnsi="CMR10" w:eastAsia="CMR10"/>
          <w:b w:val="0"/>
          <w:i w:val="0"/>
          <w:color w:val="000000"/>
          <w:sz w:val="22"/>
        </w:rPr>
        <w:t>API</w:t>
      </w:r>
      <w:r>
        <w:rPr>
          <w:rFonts w:ascii="CMR10" w:hAnsi="CMR10" w:eastAsia="CMR10"/>
          <w:b w:val="0"/>
          <w:i w:val="0"/>
          <w:color w:val="000000"/>
          <w:sz w:val="22"/>
        </w:rPr>
        <w:t>Gateway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to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evaluate</w:t>
      </w:r>
      <w:r>
        <w:rPr>
          <w:rFonts w:ascii="CMR10" w:hAnsi="CMR10" w:eastAsia="CMR10"/>
          <w:b w:val="0"/>
          <w:i w:val="0"/>
          <w:color w:val="000000"/>
          <w:sz w:val="22"/>
        </w:rPr>
        <w:t>transaction</w:t>
      </w:r>
      <w:r>
        <w:rPr>
          <w:rFonts w:ascii="CMR10" w:hAnsi="CMR10" w:eastAsia="CMR10"/>
          <w:b w:val="0"/>
          <w:i w:val="0"/>
          <w:color w:val="000000"/>
          <w:sz w:val="22"/>
        </w:rPr>
        <w:t>risks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real-time.</w:t>
      </w:r>
    </w:p>
    <w:p>
      <w:pPr>
        <w:autoSpaceDN w:val="0"/>
        <w:autoSpaceDE w:val="0"/>
        <w:widowControl/>
        <w:spacing w:line="218" w:lineRule="exact" w:before="38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2</w:t>
      </w:r>
    </w:p>
    <w:p>
      <w:pPr>
        <w:sectPr>
          <w:pgSz w:w="11906" w:h="16838"/>
          <w:pgMar w:top="720" w:right="1420" w:bottom="3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32" w:right="0" w:firstLine="0"/>
        <w:jc w:val="left"/>
      </w:pPr>
      <w:r>
        <w:rPr>
          <w:rFonts w:ascii="F47" w:hAnsi="F47" w:eastAsia="F47"/>
          <w:b w:val="0"/>
          <w:i w:val="0"/>
          <w:color w:val="000000"/>
          <w:sz w:val="22"/>
        </w:rPr>
        <w:t>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off-chain</w:t>
      </w:r>
      <w:r>
        <w:rPr>
          <w:rFonts w:ascii="CMR10" w:hAnsi="CMR10" w:eastAsia="CMR10"/>
          <w:b w:val="0"/>
          <w:i w:val="0"/>
          <w:color w:val="000000"/>
          <w:sz w:val="22"/>
        </w:rPr>
        <w:t>risk</w:t>
      </w:r>
      <w:r>
        <w:rPr>
          <w:rFonts w:ascii="CMR10" w:hAnsi="CMR10" w:eastAsia="CMR10"/>
          <w:b w:val="0"/>
          <w:i w:val="0"/>
          <w:color w:val="000000"/>
          <w:sz w:val="22"/>
        </w:rPr>
        <w:t>score</w:t>
      </w:r>
      <w:r>
        <w:rPr>
          <w:rFonts w:ascii="CMR10" w:hAnsi="CMR10" w:eastAsia="CMR10"/>
          <w:b w:val="0"/>
          <w:i w:val="0"/>
          <w:color w:val="000000"/>
          <w:sz w:val="22"/>
        </w:rPr>
        <w:t>is</w:t>
      </w:r>
      <w:r>
        <w:rPr>
          <w:rFonts w:ascii="CMR10" w:hAnsi="CMR10" w:eastAsia="CMR10"/>
          <w:b w:val="0"/>
          <w:i w:val="0"/>
          <w:color w:val="000000"/>
          <w:sz w:val="22"/>
        </w:rPr>
        <w:t>securely</w:t>
      </w:r>
      <w:r>
        <w:rPr>
          <w:rFonts w:ascii="CMR10" w:hAnsi="CMR10" w:eastAsia="CMR10"/>
          <w:b w:val="0"/>
          <w:i w:val="0"/>
          <w:color w:val="000000"/>
          <w:sz w:val="22"/>
        </w:rPr>
        <w:t>bridged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EVM-compatible</w:t>
      </w:r>
      <w:r>
        <w:rPr>
          <w:rFonts w:ascii="CMR10" w:hAnsi="CMR10" w:eastAsia="CMR10"/>
          <w:b w:val="0"/>
          <w:i w:val="0"/>
          <w:color w:val="000000"/>
          <w:sz w:val="22"/>
        </w:rPr>
        <w:t>block-networks.</w:t>
      </w:r>
    </w:p>
    <w:p>
      <w:pPr>
        <w:autoSpaceDN w:val="0"/>
        <w:tabs>
          <w:tab w:pos="550" w:val="left"/>
        </w:tabs>
        <w:autoSpaceDE w:val="0"/>
        <w:widowControl/>
        <w:spacing w:line="270" w:lineRule="exact" w:before="182" w:after="364"/>
        <w:ind w:left="332" w:right="0" w:firstLine="0"/>
        <w:jc w:val="left"/>
      </w:pPr>
      <w:r>
        <w:rPr>
          <w:rFonts w:ascii="F47" w:hAnsi="F47" w:eastAsia="F47"/>
          <w:b w:val="0"/>
          <w:i w:val="0"/>
          <w:color w:val="000000"/>
          <w:sz w:val="22"/>
        </w:rPr>
        <w:t></w:t>
      </w:r>
      <w:r>
        <w:rPr>
          <w:rFonts w:ascii="CMR10" w:hAnsi="CMR10" w:eastAsia="CMR10"/>
          <w:b w:val="0"/>
          <w:i w:val="0"/>
          <w:color w:val="000000"/>
          <w:sz w:val="22"/>
        </w:rPr>
        <w:t>Zero-Knowledge</w:t>
      </w:r>
      <w:r>
        <w:rPr>
          <w:rFonts w:ascii="CMR10" w:hAnsi="CMR10" w:eastAsia="CMR10"/>
          <w:b w:val="0"/>
          <w:i w:val="0"/>
          <w:color w:val="000000"/>
          <w:sz w:val="22"/>
        </w:rPr>
        <w:t>Proofs</w:t>
      </w:r>
      <w:r>
        <w:rPr>
          <w:rFonts w:ascii="CMR10" w:hAnsi="CMR10" w:eastAsia="CMR10"/>
          <w:b w:val="0"/>
          <w:i w:val="0"/>
          <w:color w:val="000000"/>
          <w:sz w:val="22"/>
        </w:rPr>
        <w:t>(ZK-SNARKs)</w:t>
      </w:r>
      <w:r>
        <w:rPr>
          <w:rFonts w:ascii="CMR10" w:hAnsi="CMR10" w:eastAsia="CMR10"/>
          <w:b w:val="0"/>
          <w:i w:val="0"/>
          <w:color w:val="000000"/>
          <w:sz w:val="22"/>
        </w:rPr>
        <w:t>interact</w:t>
      </w:r>
      <w:r>
        <w:rPr>
          <w:rFonts w:ascii="CMR10" w:hAnsi="CMR10" w:eastAsia="CMR10"/>
          <w:b w:val="0"/>
          <w:i w:val="0"/>
          <w:color w:val="000000"/>
          <w:sz w:val="22"/>
        </w:rPr>
        <w:t>with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Smart</w:t>
      </w:r>
      <w:r>
        <w:rPr>
          <w:rFonts w:ascii="CMR10" w:hAnsi="CMR10" w:eastAsia="CMR10"/>
          <w:b w:val="0"/>
          <w:i w:val="0"/>
          <w:color w:val="000000"/>
          <w:sz w:val="22"/>
        </w:rPr>
        <w:t>Contracts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finalize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or </w:t>
      </w:r>
      <w:r>
        <w:rPr>
          <w:rFonts w:ascii="CMR10" w:hAnsi="CMR10" w:eastAsia="CMR10"/>
          <w:b w:val="0"/>
          <w:i w:val="0"/>
          <w:color w:val="000000"/>
          <w:sz w:val="22"/>
        </w:rPr>
        <w:t>revert</w:t>
      </w:r>
      <w:r>
        <w:rPr>
          <w:rFonts w:ascii="CMR10" w:hAnsi="CMR10" w:eastAsia="CMR10"/>
          <w:b w:val="0"/>
          <w:i w:val="0"/>
          <w:color w:val="000000"/>
          <w:sz w:val="22"/>
        </w:rPr>
        <w:t>transactions</w:t>
      </w:r>
      <w:r>
        <w:rPr>
          <w:rFonts w:ascii="CMR10" w:hAnsi="CMR10" w:eastAsia="CMR10"/>
          <w:b w:val="0"/>
          <w:i w:val="0"/>
          <w:color w:val="000000"/>
          <w:sz w:val="22"/>
        </w:rPr>
        <w:t>without</w:t>
      </w:r>
      <w:r>
        <w:rPr>
          <w:rFonts w:ascii="CMR10" w:hAnsi="CMR10" w:eastAsia="CMR10"/>
          <w:b w:val="0"/>
          <w:i w:val="0"/>
          <w:color w:val="000000"/>
          <w:sz w:val="22"/>
        </w:rPr>
        <w:t>leaking</w:t>
      </w:r>
      <w:r>
        <w:rPr>
          <w:rFonts w:ascii="CMR10" w:hAnsi="CMR10" w:eastAsia="CMR10"/>
          <w:b w:val="0"/>
          <w:i w:val="0"/>
          <w:color w:val="000000"/>
          <w:sz w:val="22"/>
        </w:rPr>
        <w:t>proprietary</w:t>
      </w:r>
      <w:r>
        <w:rPr>
          <w:rFonts w:ascii="CMR10" w:hAnsi="CMR10" w:eastAsia="CMR10"/>
          <w:b w:val="0"/>
          <w:i w:val="0"/>
          <w:color w:val="000000"/>
          <w:sz w:val="22"/>
        </w:rPr>
        <w:t>user</w:t>
      </w:r>
      <w:r>
        <w:rPr>
          <w:rFonts w:ascii="CMR10" w:hAnsi="CMR10" w:eastAsia="CMR10"/>
          <w:b w:val="0"/>
          <w:i w:val="0"/>
          <w:color w:val="000000"/>
          <w:sz w:val="22"/>
        </w:rPr>
        <w:t>PII</w:t>
      </w:r>
      <w:r>
        <w:rPr>
          <w:rFonts w:ascii="CMR10" w:hAnsi="CMR10" w:eastAsia="CMR10"/>
          <w:b w:val="0"/>
          <w:i w:val="0"/>
          <w:color w:val="000000"/>
          <w:sz w:val="22"/>
        </w:rPr>
        <w:t>on</w:t>
      </w:r>
      <w:r>
        <w:rPr>
          <w:rFonts w:ascii="CMR10" w:hAnsi="CMR10" w:eastAsia="CMR10"/>
          <w:b w:val="0"/>
          <w:i w:val="0"/>
          <w:color w:val="000000"/>
          <w:sz w:val="22"/>
        </w:rPr>
        <w:t>the</w:t>
      </w:r>
      <w:r>
        <w:rPr>
          <w:rFonts w:ascii="CMR10" w:hAnsi="CMR10" w:eastAsia="CMR10"/>
          <w:b w:val="0"/>
          <w:i w:val="0"/>
          <w:color w:val="000000"/>
          <w:sz w:val="22"/>
        </w:rPr>
        <w:t>public</w:t>
      </w:r>
      <w:r>
        <w:rPr>
          <w:rFonts w:ascii="CMR10" w:hAnsi="CMR10" w:eastAsia="CMR10"/>
          <w:b w:val="0"/>
          <w:i w:val="0"/>
          <w:color w:val="000000"/>
          <w:sz w:val="22"/>
        </w:rPr>
        <w:t>ledger.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122"/>
      </w:tblGrid>
      <w:tr>
        <w:trPr>
          <w:trHeight w:hRule="exact" w:val="3674"/>
        </w:trPr>
        <w:tc>
          <w:tcPr>
            <w:tcW w:type="dxa" w:w="870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20"/>
              <w:ind w:left="60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Patent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Abstract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(Unified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Application):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A unified system and method for detecting anomalies,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scoring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risk,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enforcing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compliance,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controlling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stability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heterogeneous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domains.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invention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comprises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eight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subsystems: </w:t>
            </w:r>
            <w:r>
              <w:br/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(1)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Blind-Spot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Decomposition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Theory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—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four-channel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decomposition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classifier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failures; </w:t>
            </w:r>
            <w:r>
              <w:br/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(2)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Universal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Deviation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Principle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—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multi-spectrum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operator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families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provable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detection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guarantees; </w:t>
            </w:r>
            <w:r>
              <w:br/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(3)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GravityEngine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—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N-body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variational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scoring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closed-form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energy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potentials; </w:t>
            </w:r>
            <w:r>
              <w:br/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(4)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Dimension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Magnifier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—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boundary-centred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nonlinear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per-dimension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transform;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967"/>
              <w:gridCol w:w="967"/>
              <w:gridCol w:w="967"/>
              <w:gridCol w:w="967"/>
              <w:gridCol w:w="967"/>
              <w:gridCol w:w="967"/>
              <w:gridCol w:w="967"/>
              <w:gridCol w:w="967"/>
              <w:gridCol w:w="967"/>
            </w:tblGrid>
            <w:tr>
              <w:trPr>
                <w:trHeight w:hRule="exact" w:val="238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48" w:right="0" w:firstLine="0"/>
                    <w:jc w:val="left"/>
                  </w:pPr>
                  <w:r>
                    <w:rPr>
                      <w:rFonts w:ascii="CMBX10" w:hAnsi="CMBX10" w:eastAsia="CMBX10"/>
                      <w:b/>
                      <w:i w:val="0"/>
                      <w:color w:val="000000"/>
                      <w:sz w:val="20"/>
                    </w:rPr>
                    <w:t>(5)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Risk-Aware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Transaction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Protocol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(AMTTP)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—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tiered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escrow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0" w:after="0"/>
                    <w:ind w:left="0" w:right="18" w:firstLine="0"/>
                    <w:jc w:val="right"/>
                  </w:pPr>
                  <w:r>
                    <w:rPr>
                      <w:rFonts w:ascii="CMR10" w:hAnsi="CMR10" w:eastAsia="CMR10"/>
                      <w:b w:val="0"/>
                      <w:i w:val="0"/>
                      <w:color w:val="000000"/>
                      <w:sz w:val="20"/>
                    </w:rPr>
                    <w:t>(Ap-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6" w:lineRule="exact" w:before="0" w:after="0"/>
              <w:ind w:left="6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prove/Review/Escrow/Block),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ML-oracle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routing,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zero-knowledge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compliance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verification,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cross-chain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propagation; </w:t>
            </w:r>
            <w:r>
              <w:br/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(6)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Adaptive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Friction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Framework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—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Lyapunov-based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adaptive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friction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systemic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detection; 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(7)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State-Dependent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Viscosity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—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transfers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BSDT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functional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computational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fluid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dynamics; 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(8)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Integrity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Verification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—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prevents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interface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manipulation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attacks.</w:t>
            </w:r>
          </w:p>
        </w:tc>
      </w:tr>
    </w:tbl>
    <w:p>
      <w:pPr>
        <w:autoSpaceDN w:val="0"/>
        <w:autoSpaceDE w:val="0"/>
        <w:widowControl/>
        <w:spacing w:line="272" w:lineRule="exact" w:before="60" w:after="0"/>
        <w:ind w:left="4" w:right="0" w:firstLine="0"/>
        <w:jc w:val="left"/>
      </w:pPr>
      <w:r>
        <w:rPr>
          <w:rFonts w:ascii="CMTI10" w:hAnsi="CMTI10" w:eastAsia="CMTI10"/>
          <w:b w:val="0"/>
          <w:i/>
          <w:color w:val="000000"/>
          <w:sz w:val="22"/>
        </w:rPr>
        <w:t>Figure</w:t>
      </w:r>
      <w:r>
        <w:rPr>
          <w:rFonts w:ascii="CMTI10" w:hAnsi="CMTI10" w:eastAsia="CMTI10"/>
          <w:b w:val="0"/>
          <w:i/>
          <w:color w:val="000000"/>
          <w:sz w:val="22"/>
        </w:rPr>
        <w:t>2:</w:t>
      </w:r>
      <w:r>
        <w:rPr>
          <w:rFonts w:ascii="CMTI10" w:hAnsi="CMTI10" w:eastAsia="CMTI10"/>
          <w:b w:val="0"/>
          <w:i/>
          <w:color w:val="000000"/>
          <w:sz w:val="22"/>
        </w:rPr>
        <w:t>Patent</w:t>
      </w:r>
      <w:r>
        <w:rPr>
          <w:rFonts w:ascii="CMTI10" w:hAnsi="CMTI10" w:eastAsia="CMTI10"/>
          <w:b w:val="0"/>
          <w:i/>
          <w:color w:val="000000"/>
          <w:sz w:val="22"/>
        </w:rPr>
        <w:t>abstract</w:t>
      </w:r>
      <w:r>
        <w:rPr>
          <w:rFonts w:ascii="CMTI10" w:hAnsi="CMTI10" w:eastAsia="CMTI10"/>
          <w:b w:val="0"/>
          <w:i/>
          <w:color w:val="000000"/>
          <w:sz w:val="22"/>
        </w:rPr>
        <w:t>detailing</w:t>
      </w:r>
      <w:r>
        <w:rPr>
          <w:rFonts w:ascii="CMTI10" w:hAnsi="CMTI10" w:eastAsia="CMTI10"/>
          <w:b w:val="0"/>
          <w:i/>
          <w:color w:val="000000"/>
          <w:sz w:val="22"/>
        </w:rPr>
        <w:t>the</w:t>
      </w:r>
      <w:r>
        <w:rPr>
          <w:rFonts w:ascii="CMTI10" w:hAnsi="CMTI10" w:eastAsia="CMTI10"/>
          <w:b w:val="0"/>
          <w:i/>
          <w:color w:val="000000"/>
          <w:sz w:val="22"/>
        </w:rPr>
        <w:t>eight</w:t>
      </w:r>
      <w:r>
        <w:rPr>
          <w:rFonts w:ascii="CMTI10" w:hAnsi="CMTI10" w:eastAsia="CMTI10"/>
          <w:b w:val="0"/>
          <w:i/>
          <w:color w:val="000000"/>
          <w:sz w:val="22"/>
        </w:rPr>
        <w:t>core</w:t>
      </w:r>
      <w:r>
        <w:rPr>
          <w:rFonts w:ascii="CMTI10" w:hAnsi="CMTI10" w:eastAsia="CMTI10"/>
          <w:b w:val="0"/>
          <w:i/>
          <w:color w:val="000000"/>
          <w:sz w:val="22"/>
        </w:rPr>
        <w:t>algorithmic</w:t>
      </w:r>
      <w:r>
        <w:rPr>
          <w:rFonts w:ascii="CMTI10" w:hAnsi="CMTI10" w:eastAsia="CMTI10"/>
          <w:b w:val="0"/>
          <w:i/>
          <w:color w:val="000000"/>
          <w:sz w:val="22"/>
        </w:rPr>
        <w:t>subsystems</w:t>
      </w:r>
      <w:r>
        <w:rPr>
          <w:rFonts w:ascii="CMTI10" w:hAnsi="CMTI10" w:eastAsia="CMTI10"/>
          <w:b w:val="0"/>
          <w:i/>
          <w:color w:val="000000"/>
          <w:sz w:val="22"/>
        </w:rPr>
        <w:t>protected</w:t>
      </w:r>
      <w:r>
        <w:rPr>
          <w:rFonts w:ascii="CMTI10" w:hAnsi="CMTI10" w:eastAsia="CMTI10"/>
          <w:b w:val="0"/>
          <w:i/>
          <w:color w:val="000000"/>
          <w:sz w:val="22"/>
        </w:rPr>
        <w:t>under</w:t>
      </w:r>
      <w:r>
        <w:rPr>
          <w:rFonts w:ascii="CMTI10" w:hAnsi="CMTI10" w:eastAsia="CMTI10"/>
          <w:b w:val="0"/>
          <w:i/>
          <w:color w:val="000000"/>
          <w:sz w:val="22"/>
        </w:rPr>
        <w:t xml:space="preserve">UK </w:t>
      </w:r>
      <w:r>
        <w:rPr>
          <w:rFonts w:ascii="CMTI10" w:hAnsi="CMTI10" w:eastAsia="CMTI10"/>
          <w:b w:val="0"/>
          <w:i/>
          <w:color w:val="000000"/>
          <w:sz w:val="22"/>
        </w:rPr>
        <w:t>IPO</w:t>
      </w:r>
      <w:r>
        <w:rPr>
          <w:rFonts w:ascii="CMTI10" w:hAnsi="CMTI10" w:eastAsia="CMTI10"/>
          <w:b w:val="0"/>
          <w:i/>
          <w:color w:val="000000"/>
          <w:sz w:val="22"/>
        </w:rPr>
        <w:t>Application</w:t>
      </w:r>
      <w:r>
        <w:rPr>
          <w:rFonts w:ascii="CMTI10" w:hAnsi="CMTI10" w:eastAsia="CMTI10"/>
          <w:b w:val="0"/>
          <w:i/>
          <w:color w:val="000000"/>
          <w:sz w:val="22"/>
        </w:rPr>
        <w:t>No.</w:t>
      </w:r>
      <w:r>
        <w:rPr>
          <w:rFonts w:ascii="CMTI10" w:hAnsi="CMTI10" w:eastAsia="CMTI10"/>
          <w:b w:val="0"/>
          <w:i/>
          <w:color w:val="000000"/>
          <w:sz w:val="22"/>
        </w:rPr>
        <w:t>1026066039.</w:t>
      </w:r>
    </w:p>
    <w:p>
      <w:pPr>
        <w:autoSpaceDN w:val="0"/>
        <w:autoSpaceDE w:val="0"/>
        <w:widowControl/>
        <w:spacing w:line="286" w:lineRule="exact" w:before="416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3.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Commercial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Strategy</w:t>
      </w:r>
    </w:p>
    <w:p>
      <w:pPr>
        <w:autoSpaceDN w:val="0"/>
        <w:autoSpaceDE w:val="0"/>
        <w:widowControl/>
        <w:spacing w:line="272" w:lineRule="exact" w:before="200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This intellectual property filing supports my enterprise business strategy for AMTTP. It strength-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ens the platform’s positioning as a scalable B2B infrastructure product that could be licensed to </w:t>
      </w:r>
      <w:r>
        <w:rPr>
          <w:rFonts w:ascii="CMR10" w:hAnsi="CMR10" w:eastAsia="CMR10"/>
          <w:b w:val="0"/>
          <w:i w:val="0"/>
          <w:color w:val="000000"/>
          <w:sz w:val="22"/>
        </w:rPr>
        <w:t>decentralised</w:t>
      </w:r>
      <w:r>
        <w:rPr>
          <w:rFonts w:ascii="CMR10" w:hAnsi="CMR10" w:eastAsia="CMR10"/>
          <w:b w:val="0"/>
          <w:i w:val="0"/>
          <w:color w:val="000000"/>
          <w:sz w:val="22"/>
        </w:rPr>
        <w:t>finance</w:t>
      </w:r>
      <w:r>
        <w:rPr>
          <w:rFonts w:ascii="CMR10" w:hAnsi="CMR10" w:eastAsia="CMR10"/>
          <w:b w:val="0"/>
          <w:i w:val="0"/>
          <w:color w:val="000000"/>
          <w:sz w:val="22"/>
        </w:rPr>
        <w:t>(DeFi)</w:t>
      </w:r>
      <w:r>
        <w:rPr>
          <w:rFonts w:ascii="CMR10" w:hAnsi="CMR10" w:eastAsia="CMR10"/>
          <w:b w:val="0"/>
          <w:i w:val="0"/>
          <w:color w:val="000000"/>
          <w:sz w:val="22"/>
        </w:rPr>
        <w:t>protocols</w:t>
      </w:r>
      <w:r>
        <w:rPr>
          <w:rFonts w:ascii="CMR10" w:hAnsi="CMR10" w:eastAsia="CMR10"/>
          <w:b w:val="0"/>
          <w:i w:val="0"/>
          <w:color w:val="000000"/>
          <w:sz w:val="22"/>
        </w:rPr>
        <w:t>and,</w:t>
      </w:r>
      <w:r>
        <w:rPr>
          <w:rFonts w:ascii="CMR10" w:hAnsi="CMR10" w:eastAsia="CMR10"/>
          <w:b w:val="0"/>
          <w:i w:val="0"/>
          <w:color w:val="000000"/>
          <w:sz w:val="22"/>
        </w:rPr>
        <w:t>in</w:t>
      </w:r>
      <w:r>
        <w:rPr>
          <w:rFonts w:ascii="CMR10" w:hAnsi="CMR10" w:eastAsia="CMR10"/>
          <w:b w:val="0"/>
          <w:i w:val="0"/>
          <w:color w:val="000000"/>
          <w:sz w:val="22"/>
        </w:rPr>
        <w:t>time,</w:t>
      </w:r>
      <w:r>
        <w:rPr>
          <w:rFonts w:ascii="CMR10" w:hAnsi="CMR10" w:eastAsia="CMR10"/>
          <w:b w:val="0"/>
          <w:i w:val="0"/>
          <w:color w:val="000000"/>
          <w:sz w:val="22"/>
        </w:rPr>
        <w:t>to</w:t>
      </w:r>
      <w:r>
        <w:rPr>
          <w:rFonts w:ascii="CMR10" w:hAnsi="CMR10" w:eastAsia="CMR10"/>
          <w:b w:val="0"/>
          <w:i w:val="0"/>
          <w:color w:val="000000"/>
          <w:sz w:val="22"/>
        </w:rPr>
        <w:t>regulated</w:t>
      </w:r>
      <w:r>
        <w:rPr>
          <w:rFonts w:ascii="CMR10" w:hAnsi="CMR10" w:eastAsia="CMR10"/>
          <w:b w:val="0"/>
          <w:i w:val="0"/>
          <w:color w:val="000000"/>
          <w:sz w:val="22"/>
        </w:rPr>
        <w:t>financial</w:t>
      </w:r>
      <w:r>
        <w:rPr>
          <w:rFonts w:ascii="CMR10" w:hAnsi="CMR10" w:eastAsia="CMR10"/>
          <w:b w:val="0"/>
          <w:i w:val="0"/>
          <w:color w:val="000000"/>
          <w:sz w:val="22"/>
        </w:rPr>
        <w:t>institutions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seeking </w:t>
      </w:r>
      <w:r>
        <w:rPr>
          <w:rFonts w:ascii="CMR10" w:hAnsi="CMR10" w:eastAsia="CMR10"/>
          <w:b w:val="0"/>
          <w:i w:val="0"/>
          <w:color w:val="000000"/>
          <w:sz w:val="22"/>
        </w:rPr>
        <w:t>pre-settlement</w:t>
      </w:r>
      <w:r>
        <w:rPr>
          <w:rFonts w:ascii="CMR10" w:hAnsi="CMR10" w:eastAsia="CMR10"/>
          <w:b w:val="0"/>
          <w:i w:val="0"/>
          <w:color w:val="000000"/>
          <w:sz w:val="22"/>
        </w:rPr>
        <w:t>compliance</w:t>
      </w:r>
      <w:r>
        <w:rPr>
          <w:rFonts w:ascii="CMR10" w:hAnsi="CMR10" w:eastAsia="CMR10"/>
          <w:b w:val="0"/>
          <w:i w:val="0"/>
          <w:color w:val="000000"/>
          <w:sz w:val="22"/>
        </w:rPr>
        <w:t>tooling.</w:t>
      </w:r>
    </w:p>
    <w:p>
      <w:pPr>
        <w:autoSpaceDN w:val="0"/>
        <w:autoSpaceDE w:val="0"/>
        <w:widowControl/>
        <w:spacing w:line="218" w:lineRule="exact" w:before="6760" w:after="0"/>
        <w:ind w:left="0" w:right="4550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2"/>
        </w:rPr>
        <w:t>3</w:t>
      </w:r>
    </w:p>
    <w:sectPr w:rsidR="00FC693F" w:rsidRPr="0006063C" w:rsidSect="00034616">
      <w:pgSz w:w="11906" w:h="16838"/>
      <w:pgMar w:top="700" w:right="1348" w:bottom="396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