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1E687" w14:textId="77777777" w:rsidR="00CD2158" w:rsidRPr="008C168D" w:rsidRDefault="00000000">
      <w:pPr>
        <w:rPr>
          <w:sz w:val="20"/>
          <w:szCs w:val="20"/>
        </w:rPr>
      </w:pPr>
      <w:r w:rsidRPr="008C168D">
        <w:rPr>
          <w:b/>
          <w:color w:val="1A2A4A"/>
          <w:sz w:val="20"/>
          <w:szCs w:val="20"/>
        </w:rPr>
        <w:t>Tech Nation Visa — Global Talent (Exceptional Promise)</w:t>
      </w:r>
    </w:p>
    <w:p w14:paraId="30C58450" w14:textId="77777777" w:rsidR="00CD2158" w:rsidRPr="008C168D" w:rsidRDefault="00000000">
      <w:pPr>
        <w:rPr>
          <w:sz w:val="20"/>
          <w:szCs w:val="20"/>
        </w:rPr>
      </w:pPr>
      <w:r w:rsidRPr="008C168D">
        <w:rPr>
          <w:b/>
          <w:sz w:val="20"/>
          <w:szCs w:val="20"/>
        </w:rPr>
        <w:t xml:space="preserve">Criteria: </w:t>
      </w:r>
      <w:r w:rsidRPr="008C168D">
        <w:rPr>
          <w:sz w:val="20"/>
          <w:szCs w:val="20"/>
        </w:rPr>
        <w:t>Optional Criteria 3 — Product &amp; Engineering Impact</w:t>
      </w:r>
    </w:p>
    <w:p w14:paraId="2471BE8A" w14:textId="77777777" w:rsidR="00CD2158" w:rsidRPr="008C168D" w:rsidRDefault="00000000">
      <w:pPr>
        <w:spacing w:after="40"/>
        <w:rPr>
          <w:sz w:val="20"/>
          <w:szCs w:val="20"/>
        </w:rPr>
      </w:pPr>
      <w:r w:rsidRPr="008C168D">
        <w:rPr>
          <w:b/>
          <w:sz w:val="20"/>
          <w:szCs w:val="20"/>
        </w:rPr>
        <w:t xml:space="preserve">Applicant: </w:t>
      </w:r>
      <w:r w:rsidRPr="008C168D">
        <w:rPr>
          <w:sz w:val="20"/>
          <w:szCs w:val="20"/>
        </w:rPr>
        <w:t>Odeyemi Olusegun Israel</w:t>
      </w:r>
    </w:p>
    <w:p w14:paraId="3AA786EE" w14:textId="77777777" w:rsidR="00CD2158" w:rsidRPr="008C168D" w:rsidRDefault="00CD2158">
      <w:pPr>
        <w:pBdr>
          <w:bottom w:val="single" w:sz="8" w:space="1" w:color="1A2A4A"/>
        </w:pBdr>
        <w:spacing w:after="0"/>
        <w:rPr>
          <w:sz w:val="20"/>
          <w:szCs w:val="20"/>
        </w:rPr>
      </w:pPr>
    </w:p>
    <w:p w14:paraId="47F02749" w14:textId="464BBA2B" w:rsidR="00CD2158" w:rsidRPr="008C168D" w:rsidRDefault="00000000">
      <w:pPr>
        <w:spacing w:before="40" w:after="80"/>
        <w:jc w:val="center"/>
        <w:rPr>
          <w:sz w:val="20"/>
          <w:szCs w:val="20"/>
        </w:rPr>
      </w:pPr>
      <w:r>
        <w:t xml:space="preserve">OC3-3: Integrity Architecture, RBAC Enforcement, and Bybit-Class Attack Prevention</w:t>
      </w:r>
    </w:p>
    <w:p w14:paraId="42C4A88C" w14:textId="77777777" w:rsidR="00CD2158" w:rsidRPr="008C168D" w:rsidRDefault="00CD2158">
      <w:pPr>
        <w:rPr>
          <w:sz w:val="20"/>
          <w:szCs w:val="20"/>
        </w:rPr>
      </w:pPr>
    </w:p>
    <w:p w14:paraId="0D82D3A3" w14:textId="77777777" w:rsidR="00CD2158" w:rsidRPr="008C168D" w:rsidRDefault="00000000">
      <w:pPr>
        <w:rPr>
          <w:sz w:val="20"/>
          <w:szCs w:val="20"/>
        </w:rPr>
      </w:pPr>
      <w:r w:rsidRPr="008C168D">
        <w:rPr>
          <w:i/>
          <w:sz w:val="20"/>
          <w:szCs w:val="20"/>
        </w:rPr>
        <w:t>Table: OC3-2 Evidence Summary</w:t>
      </w:r>
    </w:p>
    <w:tbl>
      <w:tblPr>
        <w:tblStyle w:val="TableGrid"/>
        <w:tblW w:w="0" w:type="auto"/>
        <w:tblLook w:val="04A0" w:firstRow="1" w:lastRow="0" w:firstColumn="1" w:lastColumn="0" w:noHBand="0" w:noVBand="1"/>
      </w:tblPr>
      <w:tblGrid>
        <w:gridCol w:w="2859"/>
        <w:gridCol w:w="3998"/>
        <w:gridCol w:w="3281"/>
      </w:tblGrid>
      <w:tr w:rsidR="00CD2158" w:rsidRPr="008C168D" w14:paraId="64D0B62F" w14:textId="77777777">
        <w:tc>
          <w:tcPr>
            <w:tcW w:w="2880" w:type="dxa"/>
            <w:shd w:val="clear" w:color="auto" w:fill="E2E2E2"/>
          </w:tcPr>
          <w:p w14:paraId="6EFDC058" w14:textId="77777777" w:rsidR="00CD2158" w:rsidRPr="008C168D" w:rsidRDefault="00000000">
            <w:pPr>
              <w:rPr>
                <w:sz w:val="20"/>
                <w:szCs w:val="20"/>
              </w:rPr>
            </w:pPr>
            <w:r w:rsidRPr="008C168D">
              <w:rPr>
                <w:b/>
                <w:color w:val="000000"/>
                <w:sz w:val="20"/>
                <w:szCs w:val="20"/>
              </w:rPr>
              <w:t>Claim</w:t>
            </w:r>
          </w:p>
        </w:tc>
        <w:tc>
          <w:tcPr>
            <w:tcW w:w="4032" w:type="dxa"/>
            <w:shd w:val="clear" w:color="auto" w:fill="E2E2E2"/>
          </w:tcPr>
          <w:p w14:paraId="17C8EFA6" w14:textId="77777777" w:rsidR="00CD2158" w:rsidRPr="008C168D" w:rsidRDefault="00000000">
            <w:pPr>
              <w:rPr>
                <w:sz w:val="20"/>
                <w:szCs w:val="20"/>
              </w:rPr>
            </w:pPr>
            <w:r w:rsidRPr="008C168D">
              <w:rPr>
                <w:b/>
                <w:color w:val="000000"/>
                <w:sz w:val="20"/>
                <w:szCs w:val="20"/>
              </w:rPr>
              <w:t>Code / File</w:t>
            </w:r>
          </w:p>
        </w:tc>
        <w:tc>
          <w:tcPr>
            <w:tcW w:w="3168" w:type="dxa"/>
            <w:shd w:val="clear" w:color="auto" w:fill="E2E2E2"/>
          </w:tcPr>
          <w:p w14:paraId="129E7A91" w14:textId="77777777" w:rsidR="00CD2158" w:rsidRPr="008C168D" w:rsidRDefault="00000000">
            <w:pPr>
              <w:rPr>
                <w:sz w:val="20"/>
                <w:szCs w:val="20"/>
              </w:rPr>
            </w:pPr>
            <w:r w:rsidRPr="008C168D">
              <w:rPr>
                <w:b/>
                <w:color w:val="000000"/>
                <w:sz w:val="20"/>
                <w:szCs w:val="20"/>
              </w:rPr>
              <w:t>Verification</w:t>
            </w:r>
          </w:p>
        </w:tc>
      </w:tr>
      <w:tr w:rsidR="00CD2158" w:rsidRPr="008C168D" w14:paraId="3AE0FB89" w14:textId="77777777">
        <w:tc>
          <w:tcPr>
            <w:tcW w:w="2880" w:type="dxa"/>
            <w:shd w:val="clear" w:color="auto" w:fill="FFFFFF"/>
          </w:tcPr>
          <w:p w14:paraId="35EA1B0B" w14:textId="77777777" w:rsidR="00CD2158" w:rsidRPr="008C168D" w:rsidRDefault="00000000">
            <w:pPr>
              <w:rPr>
                <w:sz w:val="20"/>
                <w:szCs w:val="20"/>
              </w:rPr>
            </w:pPr>
            <w:r w:rsidRPr="008C168D">
              <w:rPr>
                <w:color w:val="000000"/>
                <w:sz w:val="20"/>
                <w:szCs w:val="20"/>
              </w:rPr>
              <w:t>Bybit-class UI attack prevention</w:t>
            </w:r>
          </w:p>
        </w:tc>
        <w:tc>
          <w:tcPr>
            <w:tcW w:w="4032" w:type="dxa"/>
            <w:shd w:val="clear" w:color="auto" w:fill="FFFFFF"/>
          </w:tcPr>
          <w:p w14:paraId="711C3309" w14:textId="77777777" w:rsidR="00CD2158" w:rsidRPr="008C168D" w:rsidRDefault="00000000">
            <w:pPr>
              <w:rPr>
                <w:sz w:val="20"/>
                <w:szCs w:val="20"/>
              </w:rPr>
            </w:pPr>
            <w:r w:rsidRPr="008C168D">
              <w:rPr>
                <w:color w:val="000000"/>
                <w:sz w:val="20"/>
                <w:szCs w:val="20"/>
              </w:rPr>
              <w:t>ui-integrity.ts — 4-layer hash integrity check</w:t>
            </w:r>
          </w:p>
        </w:tc>
        <w:tc>
          <w:tcPr>
            <w:tcW w:w="3168" w:type="dxa"/>
            <w:shd w:val="clear" w:color="auto" w:fill="FFFFFF"/>
          </w:tcPr>
          <w:p w14:paraId="61DEC964" w14:textId="77777777" w:rsidR="00CD2158" w:rsidRPr="008C168D" w:rsidRDefault="00000000">
            <w:pPr>
              <w:rPr>
                <w:sz w:val="20"/>
                <w:szCs w:val="20"/>
              </w:rPr>
            </w:pPr>
            <w:r w:rsidRPr="008C168D">
              <w:rPr>
                <w:color w:val="000000"/>
                <w:sz w:val="20"/>
                <w:szCs w:val="20"/>
              </w:rPr>
              <w:t>frontend/frontend/src/lib/ui-integrity.ts</w:t>
            </w:r>
          </w:p>
        </w:tc>
      </w:tr>
      <w:tr w:rsidR="00CD2158" w:rsidRPr="008C168D" w14:paraId="5C60F935" w14:textId="77777777">
        <w:tc>
          <w:tcPr>
            <w:tcW w:w="2880" w:type="dxa"/>
            <w:shd w:val="clear" w:color="auto" w:fill="F5F5F5"/>
          </w:tcPr>
          <w:p w14:paraId="641E9A6C" w14:textId="77777777" w:rsidR="00CD2158" w:rsidRPr="008C168D" w:rsidRDefault="00000000">
            <w:pPr>
              <w:rPr>
                <w:sz w:val="20"/>
                <w:szCs w:val="20"/>
              </w:rPr>
            </w:pPr>
            <w:r w:rsidRPr="008C168D">
              <w:rPr>
                <w:color w:val="000000"/>
                <w:sz w:val="20"/>
                <w:szCs w:val="20"/>
              </w:rPr>
              <w:t>Six-tier RBAC enforcement</w:t>
            </w:r>
          </w:p>
        </w:tc>
        <w:tc>
          <w:tcPr>
            <w:tcW w:w="4032" w:type="dxa"/>
            <w:shd w:val="clear" w:color="auto" w:fill="F5F5F5"/>
          </w:tcPr>
          <w:p w14:paraId="05171168" w14:textId="77777777" w:rsidR="00CD2158" w:rsidRPr="008C168D" w:rsidRDefault="00000000">
            <w:pPr>
              <w:rPr>
                <w:sz w:val="20"/>
                <w:szCs w:val="20"/>
              </w:rPr>
            </w:pPr>
            <w:r w:rsidRPr="008C168D">
              <w:rPr>
                <w:color w:val="000000"/>
                <w:sz w:val="20"/>
                <w:szCs w:val="20"/>
              </w:rPr>
              <w:t>rbac_config.json shared across Flutter + Next.js</w:t>
            </w:r>
          </w:p>
        </w:tc>
        <w:tc>
          <w:tcPr>
            <w:tcW w:w="3168" w:type="dxa"/>
            <w:shd w:val="clear" w:color="auto" w:fill="F5F5F5"/>
          </w:tcPr>
          <w:p w14:paraId="61037309" w14:textId="77777777" w:rsidR="00CD2158" w:rsidRPr="008C168D" w:rsidRDefault="00000000">
            <w:pPr>
              <w:rPr>
                <w:sz w:val="20"/>
                <w:szCs w:val="20"/>
              </w:rPr>
            </w:pPr>
            <w:r w:rsidRPr="008C168D">
              <w:rPr>
                <w:color w:val="000000"/>
                <w:sz w:val="20"/>
                <w:szCs w:val="20"/>
              </w:rPr>
              <w:t>frontend/shared/rbac_config.json</w:t>
            </w:r>
          </w:p>
        </w:tc>
      </w:tr>
      <w:tr w:rsidR="00CD2158" w:rsidRPr="008C168D" w14:paraId="3217AB21" w14:textId="77777777">
        <w:tc>
          <w:tcPr>
            <w:tcW w:w="2880" w:type="dxa"/>
            <w:shd w:val="clear" w:color="auto" w:fill="FFFFFF"/>
          </w:tcPr>
          <w:p w14:paraId="0F455766" w14:textId="77777777" w:rsidR="00CD2158" w:rsidRPr="008C168D" w:rsidRDefault="00000000">
            <w:pPr>
              <w:rPr>
                <w:sz w:val="20"/>
                <w:szCs w:val="20"/>
              </w:rPr>
            </w:pPr>
            <w:r w:rsidRPr="008C168D">
              <w:rPr>
                <w:color w:val="000000"/>
                <w:sz w:val="20"/>
                <w:szCs w:val="20"/>
              </w:rPr>
              <w:t>War Room dashboard (R3–R6)</w:t>
            </w:r>
          </w:p>
        </w:tc>
        <w:tc>
          <w:tcPr>
            <w:tcW w:w="4032" w:type="dxa"/>
            <w:shd w:val="clear" w:color="auto" w:fill="FFFFFF"/>
          </w:tcPr>
          <w:p w14:paraId="7236A22B" w14:textId="77777777" w:rsidR="00CD2158" w:rsidRPr="008C168D" w:rsidRDefault="00000000">
            <w:pPr>
              <w:rPr>
                <w:sz w:val="20"/>
                <w:szCs w:val="20"/>
              </w:rPr>
            </w:pPr>
            <w:r w:rsidRPr="008C168D">
              <w:rPr>
                <w:color w:val="000000"/>
                <w:sz w:val="20"/>
                <w:szCs w:val="20"/>
              </w:rPr>
              <w:t>Next.js App Router; live alerts, sanctions panel</w:t>
            </w:r>
          </w:p>
        </w:tc>
        <w:tc>
          <w:tcPr>
            <w:tcW w:w="3168" w:type="dxa"/>
            <w:shd w:val="clear" w:color="auto" w:fill="FFFFFF"/>
          </w:tcPr>
          <w:p w14:paraId="34F83BB7" w14:textId="77777777" w:rsidR="00CD2158" w:rsidRPr="008C168D" w:rsidRDefault="00000000">
            <w:pPr>
              <w:rPr>
                <w:sz w:val="20"/>
                <w:szCs w:val="20"/>
              </w:rPr>
            </w:pPr>
            <w:r w:rsidRPr="008C168D">
              <w:rPr>
                <w:color w:val="000000"/>
                <w:sz w:val="20"/>
                <w:szCs w:val="20"/>
              </w:rPr>
              <w:t>frontend/frontend/src/app/</w:t>
            </w:r>
          </w:p>
        </w:tc>
      </w:tr>
      <w:tr w:rsidR="00CD2158" w:rsidRPr="008C168D" w14:paraId="0D70EA77" w14:textId="77777777">
        <w:tc>
          <w:tcPr>
            <w:tcW w:w="2880" w:type="dxa"/>
            <w:shd w:val="clear" w:color="auto" w:fill="F5F5F5"/>
          </w:tcPr>
          <w:p w14:paraId="510CEE0C" w14:textId="77777777" w:rsidR="00CD2158" w:rsidRPr="008C168D" w:rsidRDefault="00000000">
            <w:pPr>
              <w:rPr>
                <w:sz w:val="20"/>
                <w:szCs w:val="20"/>
              </w:rPr>
            </w:pPr>
            <w:r w:rsidRPr="008C168D">
              <w:rPr>
                <w:color w:val="000000"/>
                <w:sz w:val="20"/>
                <w:szCs w:val="20"/>
              </w:rPr>
              <w:t>Flutter Focus Mode (R1–R2)</w:t>
            </w:r>
          </w:p>
        </w:tc>
        <w:tc>
          <w:tcPr>
            <w:tcW w:w="4032" w:type="dxa"/>
            <w:shd w:val="clear" w:color="auto" w:fill="F5F5F5"/>
          </w:tcPr>
          <w:p w14:paraId="78153320" w14:textId="77777777" w:rsidR="00CD2158" w:rsidRPr="008C168D" w:rsidRDefault="00000000">
            <w:pPr>
              <w:rPr>
                <w:sz w:val="20"/>
                <w:szCs w:val="20"/>
              </w:rPr>
            </w:pPr>
            <w:r w:rsidRPr="008C168D">
              <w:rPr>
                <w:color w:val="000000"/>
                <w:sz w:val="20"/>
                <w:szCs w:val="20"/>
              </w:rPr>
              <w:t>Riverpod + go_router; consumer wallet UI</w:t>
            </w:r>
          </w:p>
        </w:tc>
        <w:tc>
          <w:tcPr>
            <w:tcW w:w="3168" w:type="dxa"/>
            <w:shd w:val="clear" w:color="auto" w:fill="F5F5F5"/>
          </w:tcPr>
          <w:p w14:paraId="60573AA0" w14:textId="77777777" w:rsidR="00CD2158" w:rsidRPr="008C168D" w:rsidRDefault="00000000">
            <w:pPr>
              <w:rPr>
                <w:sz w:val="20"/>
                <w:szCs w:val="20"/>
              </w:rPr>
            </w:pPr>
            <w:r w:rsidRPr="008C168D">
              <w:rPr>
                <w:color w:val="000000"/>
                <w:sz w:val="20"/>
                <w:szCs w:val="20"/>
              </w:rPr>
              <w:t>frontend/amttp_app/lib/</w:t>
            </w:r>
          </w:p>
        </w:tc>
      </w:tr>
      <w:tr w:rsidR="00CD2158" w:rsidRPr="008C168D" w14:paraId="7618E87D" w14:textId="77777777">
        <w:tc>
          <w:tcPr>
            <w:tcW w:w="2880" w:type="dxa"/>
            <w:shd w:val="clear" w:color="auto" w:fill="FFFFFF"/>
          </w:tcPr>
          <w:p w14:paraId="3FDF7EA5" w14:textId="77777777" w:rsidR="00CD2158" w:rsidRPr="008C168D" w:rsidRDefault="00000000">
            <w:pPr>
              <w:rPr>
                <w:sz w:val="20"/>
                <w:szCs w:val="20"/>
              </w:rPr>
            </w:pPr>
            <w:r w:rsidRPr="008C168D">
              <w:rPr>
                <w:color w:val="000000"/>
                <w:sz w:val="20"/>
                <w:szCs w:val="20"/>
              </w:rPr>
              <w:t>Model explainability / audit</w:t>
            </w:r>
          </w:p>
        </w:tc>
        <w:tc>
          <w:tcPr>
            <w:tcW w:w="4032" w:type="dxa"/>
            <w:shd w:val="clear" w:color="auto" w:fill="FFFFFF"/>
          </w:tcPr>
          <w:p w14:paraId="7C0A483E" w14:textId="77777777" w:rsidR="00CD2158" w:rsidRPr="008C168D" w:rsidRDefault="00000000">
            <w:pPr>
              <w:rPr>
                <w:sz w:val="20"/>
                <w:szCs w:val="20"/>
              </w:rPr>
            </w:pPr>
            <w:r w:rsidRPr="008C168D">
              <w:rPr>
                <w:color w:val="000000"/>
                <w:sz w:val="20"/>
                <w:szCs w:val="20"/>
              </w:rPr>
              <w:t>Decision factors + weights per CRITICAL alert</w:t>
            </w:r>
          </w:p>
        </w:tc>
        <w:tc>
          <w:tcPr>
            <w:tcW w:w="3168" w:type="dxa"/>
            <w:shd w:val="clear" w:color="auto" w:fill="FFFFFF"/>
          </w:tcPr>
          <w:p w14:paraId="31827D97" w14:textId="77777777" w:rsidR="00CD2158" w:rsidRPr="008C168D" w:rsidRDefault="00000000">
            <w:pPr>
              <w:rPr>
                <w:sz w:val="20"/>
                <w:szCs w:val="20"/>
              </w:rPr>
            </w:pPr>
            <w:r w:rsidRPr="008C168D">
              <w:rPr>
                <w:color w:val="000000"/>
                <w:sz w:val="20"/>
                <w:szCs w:val="20"/>
              </w:rPr>
              <w:t>backend/compliance-service/explainability.py</w:t>
            </w:r>
          </w:p>
        </w:tc>
      </w:tr>
      <w:tr w:rsidR="00CD2158" w:rsidRPr="008C168D" w14:paraId="12457C6B" w14:textId="77777777">
        <w:tc>
          <w:tcPr>
            <w:tcW w:w="2880" w:type="dxa"/>
            <w:shd w:val="clear" w:color="auto" w:fill="F5F5F5"/>
          </w:tcPr>
          <w:p w14:paraId="349BED0F" w14:textId="77777777" w:rsidR="00CD2158" w:rsidRPr="008C168D" w:rsidRDefault="00000000">
            <w:pPr>
              <w:rPr>
                <w:sz w:val="20"/>
                <w:szCs w:val="20"/>
              </w:rPr>
            </w:pPr>
            <w:r w:rsidRPr="008C168D">
              <w:rPr>
                <w:color w:val="000000"/>
                <w:sz w:val="20"/>
                <w:szCs w:val="20"/>
              </w:rPr>
              <w:t>Sole-authored full-stack UI</w:t>
            </w:r>
          </w:p>
        </w:tc>
        <w:tc>
          <w:tcPr>
            <w:tcW w:w="4032" w:type="dxa"/>
            <w:shd w:val="clear" w:color="auto" w:fill="F5F5F5"/>
          </w:tcPr>
          <w:p w14:paraId="5CE236C8" w14:textId="77777777" w:rsidR="00CD2158" w:rsidRPr="008C168D" w:rsidRDefault="00000000">
            <w:pPr>
              <w:rPr>
                <w:sz w:val="20"/>
                <w:szCs w:val="20"/>
              </w:rPr>
            </w:pPr>
            <w:r w:rsidRPr="008C168D">
              <w:rPr>
                <w:color w:val="000000"/>
                <w:sz w:val="20"/>
                <w:szCs w:val="20"/>
              </w:rPr>
              <w:t>Flutter (6 platforms) + Next.js dashboard</w:t>
            </w:r>
          </w:p>
        </w:tc>
        <w:tc>
          <w:tcPr>
            <w:tcW w:w="3168" w:type="dxa"/>
            <w:shd w:val="clear" w:color="auto" w:fill="F5F5F5"/>
          </w:tcPr>
          <w:p w14:paraId="6D5C8ACB" w14:textId="77777777" w:rsidR="00CD2158" w:rsidRPr="008C168D" w:rsidRDefault="00000000">
            <w:pPr>
              <w:rPr>
                <w:sz w:val="20"/>
                <w:szCs w:val="20"/>
              </w:rPr>
            </w:pPr>
            <w:r w:rsidRPr="008C168D">
              <w:rPr>
                <w:color w:val="000000"/>
                <w:sz w:val="20"/>
                <w:szCs w:val="20"/>
              </w:rPr>
              <w:t>github.com/segetii/AMTTP/frontend/</w:t>
            </w:r>
          </w:p>
        </w:tc>
      </w:tr>
    </w:tbl>
    <w:p w14:paraId="0EC2D34A" w14:textId="77777777" w:rsidR="00CD2158" w:rsidRPr="008C168D" w:rsidRDefault="00CD2158">
      <w:pPr>
        <w:rPr>
          <w:sz w:val="20"/>
          <w:szCs w:val="20"/>
        </w:rPr>
      </w:pPr>
    </w:p>
    <w:p w14:paraId="63307D1F" w14:textId="77777777" w:rsidR="00CD2158" w:rsidRPr="008C168D" w:rsidRDefault="00000000">
      <w:pPr>
        <w:rPr>
          <w:sz w:val="20"/>
          <w:szCs w:val="20"/>
        </w:rPr>
      </w:pPr>
      <w:r w:rsidRPr="008C168D">
        <w:rPr>
          <w:i/>
          <w:sz w:val="20"/>
          <w:szCs w:val="20"/>
        </w:rPr>
        <w:t>Table: OC3-2 Evidence Summary</w:t>
      </w:r>
    </w:p>
    <w:p w14:paraId="563CF3CA" w14:textId="77777777" w:rsidR="00CD2158" w:rsidRPr="008C168D" w:rsidRDefault="00000000">
      <w:pPr>
        <w:spacing w:before="60"/>
        <w:rPr>
          <w:sz w:val="20"/>
          <w:szCs w:val="20"/>
        </w:rPr>
      </w:pPr>
      <w:r w:rsidRPr="008C168D">
        <w:rPr>
          <w:b/>
          <w:color w:val="1A2A4A"/>
          <w:sz w:val="20"/>
          <w:szCs w:val="20"/>
        </w:rPr>
        <w:t>1. Executive Summary</w:t>
      </w:r>
    </w:p>
    <w:p w14:paraId="7B616AF0" w14:textId="77777777" w:rsidR="00CD2158" w:rsidRPr="008C168D" w:rsidRDefault="00CD2158">
      <w:pPr>
        <w:pBdr>
          <w:bottom w:val="single" w:sz="8" w:space="1" w:color="1A2A4A"/>
        </w:pBdr>
        <w:spacing w:after="0"/>
        <w:rPr>
          <w:sz w:val="20"/>
          <w:szCs w:val="20"/>
        </w:rPr>
      </w:pPr>
    </w:p>
    <w:p w14:paraId="6350823B" w14:textId="7D4F9710" w:rsidR="00CD2158" w:rsidRPr="008C168D" w:rsidRDefault="00000000">
      <w:pPr>
        <w:rPr>
          <w:sz w:val="20"/>
          <w:szCs w:val="20"/>
        </w:rPr>
      </w:pPr>
      <w:r w:rsidRPr="008C168D">
        <w:rPr>
          <w:b/>
          <w:sz w:val="20"/>
          <w:szCs w:val="20"/>
        </w:rPr>
        <w:t xml:space="preserve">I built: </w:t>
      </w:r>
      <w:r w:rsidRPr="008C168D">
        <w:rPr>
          <w:sz w:val="20"/>
          <w:szCs w:val="20"/>
        </w:rPr>
        <w:t xml:space="preserve">an enterprise compliance interface with cryptographic UI integrity guarantees, six-tier role-based access control, and AI decision explainability — sole-authored from first line to live deployment. In February 2025, attackers at Bybit replaced the compliance approval interface with a manipulated version, causing staff to unknowingly authorise a </w:t>
      </w:r>
      <w:r w:rsidRPr="008C168D">
        <w:rPr>
          <w:b/>
          <w:sz w:val="20"/>
          <w:szCs w:val="20"/>
        </w:rPr>
        <w:t>$1.5 billion theft</w:t>
      </w:r>
      <w:r w:rsidRPr="008C168D">
        <w:rPr>
          <w:sz w:val="20"/>
          <w:szCs w:val="20"/>
        </w:rPr>
        <w:t xml:space="preserve">. Every War Room screen component carries a cryptographic fingerprint; any substitution is detected and blocked before any approval signature is collected. The architecture </w:t>
      </w:r>
      <w:r w:rsidR="008C168D">
        <w:rPr>
          <w:sz w:val="20"/>
          <w:szCs w:val="20"/>
        </w:rPr>
        <w:t>is</w:t>
      </w:r>
      <w:r w:rsidRPr="008C168D">
        <w:rPr>
          <w:sz w:val="20"/>
          <w:szCs w:val="20"/>
        </w:rPr>
        <w:t xml:space="preserve"> designed </w:t>
      </w:r>
      <w:r w:rsidR="008C168D">
        <w:rPr>
          <w:sz w:val="20"/>
          <w:szCs w:val="20"/>
        </w:rPr>
        <w:t>to prevent</w:t>
      </w:r>
      <w:r w:rsidRPr="008C168D">
        <w:rPr>
          <w:sz w:val="20"/>
          <w:szCs w:val="20"/>
        </w:rPr>
        <w:t xml:space="preserve"> that exact attack class.</w:t>
      </w:r>
    </w:p>
    <w:p w14:paraId="22A0F3D1" w14:textId="77777777" w:rsidR="00CD2158" w:rsidRPr="008C168D" w:rsidRDefault="00000000">
      <w:pPr>
        <w:spacing w:before="60"/>
        <w:rPr>
          <w:sz w:val="20"/>
          <w:szCs w:val="20"/>
        </w:rPr>
      </w:pPr>
      <w:r w:rsidRPr="008C168D">
        <w:rPr>
          <w:b/>
          <w:color w:val="1A2A4A"/>
          <w:sz w:val="20"/>
          <w:szCs w:val="20"/>
        </w:rPr>
        <w:t>2. UI Integrity Implementation</w:t>
      </w:r>
    </w:p>
    <w:p w14:paraId="13B65F5D" w14:textId="77777777" w:rsidR="00CD2158" w:rsidRPr="008C168D" w:rsidRDefault="00CD2158">
      <w:pPr>
        <w:pBdr>
          <w:bottom w:val="single" w:sz="8" w:space="1" w:color="1A2A4A"/>
        </w:pBdr>
        <w:spacing w:after="0"/>
        <w:rPr>
          <w:sz w:val="20"/>
          <w:szCs w:val="20"/>
        </w:rPr>
      </w:pPr>
    </w:p>
    <w:p w14:paraId="56751C5F" w14:textId="77777777" w:rsidR="00CD2158" w:rsidRPr="008C168D" w:rsidRDefault="00000000">
      <w:pPr>
        <w:spacing w:after="40"/>
        <w:rPr>
          <w:sz w:val="20"/>
          <w:szCs w:val="20"/>
        </w:rPr>
      </w:pPr>
      <w:r w:rsidRPr="008C168D">
        <w:rPr>
          <w:sz w:val="20"/>
          <w:szCs w:val="20"/>
        </w:rPr>
        <w:t>The file ui-integrity.ts provides four layered defences: (1) every screen component carries a unique cryptographic fingerprint; (2) approvals are signed against actual transaction data, not the displayed text; (3) the server independently validates the fingerprint before acting; and (4) a final confirmation is shown in a secure, isolated context. If an attacker replaces any part of the interface, the fingerprints will not match and the transaction is blocked before any approval can be given.</w:t>
      </w:r>
    </w:p>
    <w:p w14:paraId="65CE3B15" w14:textId="77777777" w:rsidR="00CD2158" w:rsidRPr="008C168D" w:rsidRDefault="00000000">
      <w:pPr>
        <w:jc w:val="center"/>
        <w:rPr>
          <w:sz w:val="20"/>
          <w:szCs w:val="20"/>
        </w:rPr>
      </w:pPr>
      <w:r w:rsidRPr="008C168D">
        <w:rPr>
          <w:noProof/>
          <w:sz w:val="20"/>
          <w:szCs w:val="20"/>
        </w:rPr>
        <w:drawing>
          <wp:inline distT="0" distB="0" distL="0" distR="0" wp14:anchorId="5D18B0DC" wp14:editId="0F64489C">
            <wp:extent cx="5894705" cy="3276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code_ui_integrity_header.png"/>
                    <pic:cNvPicPr/>
                  </pic:nvPicPr>
                  <pic:blipFill>
                    <a:blip r:embed="rId6"/>
                    <a:stretch>
                      <a:fillRect/>
                    </a:stretch>
                  </pic:blipFill>
                  <pic:spPr>
                    <a:xfrm>
                      <a:off x="0" y="0"/>
                      <a:ext cx="5897213" cy="3277994"/>
                    </a:xfrm>
                    <a:prstGeom prst="rect">
                      <a:avLst/>
                    </a:prstGeom>
                  </pic:spPr>
                </pic:pic>
              </a:graphicData>
            </a:graphic>
          </wp:inline>
        </w:drawing>
      </w:r>
    </w:p>
    <w:p w14:paraId="33BD74EA" w14:textId="77777777" w:rsidR="00CD2158" w:rsidRPr="008C168D" w:rsidRDefault="00000000">
      <w:pPr>
        <w:rPr>
          <w:sz w:val="20"/>
          <w:szCs w:val="20"/>
        </w:rPr>
      </w:pPr>
      <w:r w:rsidRPr="008C168D">
        <w:rPr>
          <w:i/>
          <w:color w:val="444444"/>
          <w:sz w:val="20"/>
          <w:szCs w:val="20"/>
        </w:rPr>
        <w:t>Figure 1: ui-integrity.ts lines 1–32 — header names the Bybit attack vector, lists four prevention layers, implements SHA-256 hashing via Web Crypto API. Any interface substitution breaks every hash.</w:t>
      </w:r>
    </w:p>
    <w:p w14:paraId="063AF826" w14:textId="77777777" w:rsidR="00CD2158" w:rsidRPr="008C168D" w:rsidRDefault="00000000">
      <w:pPr>
        <w:jc w:val="center"/>
        <w:rPr>
          <w:sz w:val="20"/>
          <w:szCs w:val="20"/>
        </w:rPr>
      </w:pPr>
      <w:r w:rsidRPr="008C168D">
        <w:rPr>
          <w:noProof/>
          <w:sz w:val="20"/>
          <w:szCs w:val="20"/>
        </w:rPr>
        <w:lastRenderedPageBreak/>
        <w:drawing>
          <wp:inline distT="0" distB="0" distL="0" distR="0" wp14:anchorId="6C1B5102" wp14:editId="47D60490">
            <wp:extent cx="5094676" cy="27514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code_ui_integrity_impl.png"/>
                    <pic:cNvPicPr/>
                  </pic:nvPicPr>
                  <pic:blipFill>
                    <a:blip r:embed="rId7"/>
                    <a:stretch>
                      <a:fillRect/>
                    </a:stretch>
                  </pic:blipFill>
                  <pic:spPr>
                    <a:xfrm>
                      <a:off x="0" y="0"/>
                      <a:ext cx="5095628" cy="2751969"/>
                    </a:xfrm>
                    <a:prstGeom prst="rect">
                      <a:avLst/>
                    </a:prstGeom>
                  </pic:spPr>
                </pic:pic>
              </a:graphicData>
            </a:graphic>
          </wp:inline>
        </w:drawing>
      </w:r>
    </w:p>
    <w:p w14:paraId="10BC19D4" w14:textId="77777777" w:rsidR="00C20CD3" w:rsidRPr="008C168D" w:rsidRDefault="00C20CD3">
      <w:pPr>
        <w:rPr>
          <w:i/>
          <w:color w:val="444444"/>
          <w:sz w:val="20"/>
          <w:szCs w:val="20"/>
        </w:rPr>
      </w:pPr>
    </w:p>
    <w:p w14:paraId="1F4E73B1" w14:textId="75EC9925" w:rsidR="00CD2158" w:rsidRPr="008C168D" w:rsidRDefault="00000000">
      <w:pPr>
        <w:rPr>
          <w:i/>
          <w:color w:val="444444"/>
          <w:sz w:val="20"/>
          <w:szCs w:val="20"/>
        </w:rPr>
      </w:pPr>
      <w:r w:rsidRPr="008C168D">
        <w:rPr>
          <w:i/>
          <w:color w:val="444444"/>
          <w:sz w:val="20"/>
          <w:szCs w:val="20"/>
        </w:rPr>
        <w:t>Figure 2: ui-integrity.ts lines 160–190 — four independent hashes (sourceHash, domHash, eventHandlersHash, combinedHash) per UI component. Hashing source code and live DOM independently detects the Bybit attack pattern.</w:t>
      </w:r>
    </w:p>
    <w:p w14:paraId="76504A90" w14:textId="77777777" w:rsidR="00C20CD3" w:rsidRPr="008C168D" w:rsidRDefault="00C20CD3">
      <w:pPr>
        <w:rPr>
          <w:sz w:val="20"/>
          <w:szCs w:val="20"/>
        </w:rPr>
      </w:pPr>
    </w:p>
    <w:p w14:paraId="1FB91562" w14:textId="77777777" w:rsidR="00CD2158" w:rsidRPr="008C168D" w:rsidRDefault="00000000">
      <w:pPr>
        <w:spacing w:before="60"/>
        <w:rPr>
          <w:sz w:val="20"/>
          <w:szCs w:val="20"/>
        </w:rPr>
      </w:pPr>
      <w:r w:rsidRPr="008C168D">
        <w:rPr>
          <w:b/>
          <w:color w:val="1A2A4A"/>
          <w:sz w:val="20"/>
          <w:szCs w:val="20"/>
        </w:rPr>
        <w:t>3. Role-Based Access Control</w:t>
      </w:r>
    </w:p>
    <w:p w14:paraId="1A762067" w14:textId="77777777" w:rsidR="00CD2158" w:rsidRPr="008C168D" w:rsidRDefault="00CD2158">
      <w:pPr>
        <w:pBdr>
          <w:bottom w:val="single" w:sz="8" w:space="1" w:color="1A2A4A"/>
        </w:pBdr>
        <w:spacing w:after="0"/>
        <w:rPr>
          <w:sz w:val="20"/>
          <w:szCs w:val="20"/>
        </w:rPr>
      </w:pPr>
    </w:p>
    <w:tbl>
      <w:tblPr>
        <w:tblStyle w:val="TableGrid"/>
        <w:tblW w:w="0" w:type="auto"/>
        <w:jc w:val="center"/>
        <w:tblLook w:val="04A0" w:firstRow="1" w:lastRow="0" w:firstColumn="1" w:lastColumn="0" w:noHBand="0" w:noVBand="1"/>
      </w:tblPr>
      <w:tblGrid>
        <w:gridCol w:w="864"/>
        <w:gridCol w:w="2592"/>
        <w:gridCol w:w="2880"/>
        <w:gridCol w:w="3600"/>
      </w:tblGrid>
      <w:tr w:rsidR="00CD2158" w:rsidRPr="008C168D" w14:paraId="4833448A" w14:textId="77777777">
        <w:trPr>
          <w:jc w:val="center"/>
        </w:trPr>
        <w:tc>
          <w:tcPr>
            <w:tcW w:w="864" w:type="dxa"/>
            <w:shd w:val="clear" w:color="auto" w:fill="D9E1F2"/>
          </w:tcPr>
          <w:p w14:paraId="40C5D40D" w14:textId="77777777" w:rsidR="00CD2158" w:rsidRPr="008C168D" w:rsidRDefault="00000000">
            <w:pPr>
              <w:rPr>
                <w:sz w:val="20"/>
                <w:szCs w:val="20"/>
              </w:rPr>
            </w:pPr>
            <w:r w:rsidRPr="008C168D">
              <w:rPr>
                <w:b/>
                <w:sz w:val="20"/>
                <w:szCs w:val="20"/>
              </w:rPr>
              <w:t>Role</w:t>
            </w:r>
          </w:p>
        </w:tc>
        <w:tc>
          <w:tcPr>
            <w:tcW w:w="2592" w:type="dxa"/>
            <w:shd w:val="clear" w:color="auto" w:fill="D9E1F2"/>
          </w:tcPr>
          <w:p w14:paraId="0064DF40" w14:textId="77777777" w:rsidR="00CD2158" w:rsidRPr="008C168D" w:rsidRDefault="00000000">
            <w:pPr>
              <w:rPr>
                <w:sz w:val="20"/>
                <w:szCs w:val="20"/>
              </w:rPr>
            </w:pPr>
            <w:r w:rsidRPr="008C168D">
              <w:rPr>
                <w:b/>
                <w:sz w:val="20"/>
                <w:szCs w:val="20"/>
              </w:rPr>
              <w:t>Label</w:t>
            </w:r>
          </w:p>
        </w:tc>
        <w:tc>
          <w:tcPr>
            <w:tcW w:w="2880" w:type="dxa"/>
            <w:shd w:val="clear" w:color="auto" w:fill="D9E1F2"/>
          </w:tcPr>
          <w:p w14:paraId="38D55CA3" w14:textId="77777777" w:rsidR="00CD2158" w:rsidRPr="008C168D" w:rsidRDefault="00000000">
            <w:pPr>
              <w:rPr>
                <w:sz w:val="20"/>
                <w:szCs w:val="20"/>
              </w:rPr>
            </w:pPr>
            <w:r w:rsidRPr="008C168D">
              <w:rPr>
                <w:b/>
                <w:sz w:val="20"/>
                <w:szCs w:val="20"/>
              </w:rPr>
              <w:t>Interface</w:t>
            </w:r>
          </w:p>
        </w:tc>
        <w:tc>
          <w:tcPr>
            <w:tcW w:w="3600" w:type="dxa"/>
            <w:shd w:val="clear" w:color="auto" w:fill="D9E1F2"/>
          </w:tcPr>
          <w:p w14:paraId="6C4FB081" w14:textId="77777777" w:rsidR="00CD2158" w:rsidRPr="008C168D" w:rsidRDefault="00000000">
            <w:pPr>
              <w:rPr>
                <w:sz w:val="20"/>
                <w:szCs w:val="20"/>
              </w:rPr>
            </w:pPr>
            <w:r w:rsidRPr="008C168D">
              <w:rPr>
                <w:b/>
                <w:sz w:val="20"/>
                <w:szCs w:val="20"/>
              </w:rPr>
              <w:t>Key Capabilities</w:t>
            </w:r>
          </w:p>
        </w:tc>
      </w:tr>
      <w:tr w:rsidR="00CD2158" w:rsidRPr="008C168D" w14:paraId="7FDA6153" w14:textId="77777777">
        <w:trPr>
          <w:jc w:val="center"/>
        </w:trPr>
        <w:tc>
          <w:tcPr>
            <w:tcW w:w="864" w:type="dxa"/>
          </w:tcPr>
          <w:p w14:paraId="71D94FC0" w14:textId="77777777" w:rsidR="00CD2158" w:rsidRPr="008C168D" w:rsidRDefault="00000000">
            <w:pPr>
              <w:rPr>
                <w:sz w:val="20"/>
                <w:szCs w:val="20"/>
              </w:rPr>
            </w:pPr>
            <w:r w:rsidRPr="008C168D">
              <w:rPr>
                <w:sz w:val="20"/>
                <w:szCs w:val="20"/>
              </w:rPr>
              <w:t>R1</w:t>
            </w:r>
          </w:p>
        </w:tc>
        <w:tc>
          <w:tcPr>
            <w:tcW w:w="2592" w:type="dxa"/>
          </w:tcPr>
          <w:p w14:paraId="38D56EFD" w14:textId="77777777" w:rsidR="00CD2158" w:rsidRPr="008C168D" w:rsidRDefault="00000000">
            <w:pPr>
              <w:rPr>
                <w:sz w:val="20"/>
                <w:szCs w:val="20"/>
              </w:rPr>
            </w:pPr>
            <w:r w:rsidRPr="008C168D">
              <w:rPr>
                <w:sz w:val="20"/>
                <w:szCs w:val="20"/>
              </w:rPr>
              <w:t>End User</w:t>
            </w:r>
          </w:p>
        </w:tc>
        <w:tc>
          <w:tcPr>
            <w:tcW w:w="2880" w:type="dxa"/>
          </w:tcPr>
          <w:p w14:paraId="6F0FABA9" w14:textId="77777777" w:rsidR="00CD2158" w:rsidRPr="008C168D" w:rsidRDefault="00000000">
            <w:pPr>
              <w:rPr>
                <w:sz w:val="20"/>
                <w:szCs w:val="20"/>
              </w:rPr>
            </w:pPr>
            <w:r w:rsidRPr="008C168D">
              <w:rPr>
                <w:sz w:val="20"/>
                <w:szCs w:val="20"/>
              </w:rPr>
              <w:t>Flutter (Focus Mode)</w:t>
            </w:r>
          </w:p>
        </w:tc>
        <w:tc>
          <w:tcPr>
            <w:tcW w:w="3600" w:type="dxa"/>
          </w:tcPr>
          <w:p w14:paraId="473964BC" w14:textId="77777777" w:rsidR="00CD2158" w:rsidRPr="008C168D" w:rsidRDefault="00000000">
            <w:pPr>
              <w:rPr>
                <w:sz w:val="20"/>
                <w:szCs w:val="20"/>
              </w:rPr>
            </w:pPr>
            <w:r w:rsidRPr="008C168D">
              <w:rPr>
                <w:sz w:val="20"/>
                <w:szCs w:val="20"/>
              </w:rPr>
              <w:t>Own transactions only</w:t>
            </w:r>
          </w:p>
        </w:tc>
      </w:tr>
      <w:tr w:rsidR="00CD2158" w:rsidRPr="008C168D" w14:paraId="56B53CB8" w14:textId="77777777">
        <w:trPr>
          <w:jc w:val="center"/>
        </w:trPr>
        <w:tc>
          <w:tcPr>
            <w:tcW w:w="864" w:type="dxa"/>
          </w:tcPr>
          <w:p w14:paraId="77D4B5F8" w14:textId="77777777" w:rsidR="00CD2158" w:rsidRPr="008C168D" w:rsidRDefault="00000000">
            <w:pPr>
              <w:rPr>
                <w:sz w:val="20"/>
                <w:szCs w:val="20"/>
              </w:rPr>
            </w:pPr>
            <w:r w:rsidRPr="008C168D">
              <w:rPr>
                <w:sz w:val="20"/>
                <w:szCs w:val="20"/>
              </w:rPr>
              <w:t>R2</w:t>
            </w:r>
          </w:p>
        </w:tc>
        <w:tc>
          <w:tcPr>
            <w:tcW w:w="2592" w:type="dxa"/>
          </w:tcPr>
          <w:p w14:paraId="3655DF02" w14:textId="77777777" w:rsidR="00CD2158" w:rsidRPr="008C168D" w:rsidRDefault="00000000">
            <w:pPr>
              <w:rPr>
                <w:sz w:val="20"/>
                <w:szCs w:val="20"/>
              </w:rPr>
            </w:pPr>
            <w:r w:rsidRPr="008C168D">
              <w:rPr>
                <w:sz w:val="20"/>
                <w:szCs w:val="20"/>
              </w:rPr>
              <w:t>PEP End User</w:t>
            </w:r>
          </w:p>
        </w:tc>
        <w:tc>
          <w:tcPr>
            <w:tcW w:w="2880" w:type="dxa"/>
          </w:tcPr>
          <w:p w14:paraId="17592992" w14:textId="77777777" w:rsidR="00CD2158" w:rsidRPr="008C168D" w:rsidRDefault="00000000">
            <w:pPr>
              <w:rPr>
                <w:sz w:val="20"/>
                <w:szCs w:val="20"/>
              </w:rPr>
            </w:pPr>
            <w:r w:rsidRPr="008C168D">
              <w:rPr>
                <w:sz w:val="20"/>
                <w:szCs w:val="20"/>
              </w:rPr>
              <w:t>Flutter (Focus Mode)</w:t>
            </w:r>
          </w:p>
        </w:tc>
        <w:tc>
          <w:tcPr>
            <w:tcW w:w="3600" w:type="dxa"/>
          </w:tcPr>
          <w:p w14:paraId="529C7159" w14:textId="77777777" w:rsidR="00CD2158" w:rsidRPr="008C168D" w:rsidRDefault="00000000">
            <w:pPr>
              <w:rPr>
                <w:sz w:val="20"/>
                <w:szCs w:val="20"/>
              </w:rPr>
            </w:pPr>
            <w:r w:rsidRPr="008C168D">
              <w:rPr>
                <w:sz w:val="20"/>
                <w:szCs w:val="20"/>
              </w:rPr>
              <w:t>Enhanced monitoring, restricted view</w:t>
            </w:r>
          </w:p>
        </w:tc>
      </w:tr>
      <w:tr w:rsidR="00CD2158" w:rsidRPr="008C168D" w14:paraId="4D06CD99" w14:textId="77777777">
        <w:trPr>
          <w:jc w:val="center"/>
        </w:trPr>
        <w:tc>
          <w:tcPr>
            <w:tcW w:w="864" w:type="dxa"/>
          </w:tcPr>
          <w:p w14:paraId="01E75370" w14:textId="77777777" w:rsidR="00CD2158" w:rsidRPr="008C168D" w:rsidRDefault="00000000">
            <w:pPr>
              <w:rPr>
                <w:sz w:val="20"/>
                <w:szCs w:val="20"/>
              </w:rPr>
            </w:pPr>
            <w:r w:rsidRPr="008C168D">
              <w:rPr>
                <w:sz w:val="20"/>
                <w:szCs w:val="20"/>
              </w:rPr>
              <w:t>R3</w:t>
            </w:r>
          </w:p>
        </w:tc>
        <w:tc>
          <w:tcPr>
            <w:tcW w:w="2592" w:type="dxa"/>
          </w:tcPr>
          <w:p w14:paraId="22789514" w14:textId="77777777" w:rsidR="00CD2158" w:rsidRPr="008C168D" w:rsidRDefault="00000000">
            <w:pPr>
              <w:rPr>
                <w:sz w:val="20"/>
                <w:szCs w:val="20"/>
              </w:rPr>
            </w:pPr>
            <w:r w:rsidRPr="008C168D">
              <w:rPr>
                <w:sz w:val="20"/>
                <w:szCs w:val="20"/>
              </w:rPr>
              <w:t>Compliance Officer</w:t>
            </w:r>
          </w:p>
        </w:tc>
        <w:tc>
          <w:tcPr>
            <w:tcW w:w="2880" w:type="dxa"/>
          </w:tcPr>
          <w:p w14:paraId="06FBEC40" w14:textId="77777777" w:rsidR="00CD2158" w:rsidRPr="008C168D" w:rsidRDefault="00000000">
            <w:pPr>
              <w:rPr>
                <w:sz w:val="20"/>
                <w:szCs w:val="20"/>
              </w:rPr>
            </w:pPr>
            <w:r w:rsidRPr="008C168D">
              <w:rPr>
                <w:sz w:val="20"/>
                <w:szCs w:val="20"/>
              </w:rPr>
              <w:t>Next.js (War Room)</w:t>
            </w:r>
          </w:p>
        </w:tc>
        <w:tc>
          <w:tcPr>
            <w:tcW w:w="3600" w:type="dxa"/>
          </w:tcPr>
          <w:p w14:paraId="09A2FE6A" w14:textId="77777777" w:rsidR="00CD2158" w:rsidRPr="008C168D" w:rsidRDefault="00000000">
            <w:pPr>
              <w:rPr>
                <w:sz w:val="20"/>
                <w:szCs w:val="20"/>
              </w:rPr>
            </w:pPr>
            <w:r w:rsidRPr="008C168D">
              <w:rPr>
                <w:sz w:val="20"/>
                <w:szCs w:val="20"/>
              </w:rPr>
              <w:t>All transactions, report generation</w:t>
            </w:r>
          </w:p>
        </w:tc>
      </w:tr>
      <w:tr w:rsidR="00CD2158" w:rsidRPr="008C168D" w14:paraId="6AD87F43" w14:textId="77777777">
        <w:trPr>
          <w:jc w:val="center"/>
        </w:trPr>
        <w:tc>
          <w:tcPr>
            <w:tcW w:w="864" w:type="dxa"/>
          </w:tcPr>
          <w:p w14:paraId="190A3D0D" w14:textId="77777777" w:rsidR="00CD2158" w:rsidRPr="008C168D" w:rsidRDefault="00000000">
            <w:pPr>
              <w:rPr>
                <w:sz w:val="20"/>
                <w:szCs w:val="20"/>
              </w:rPr>
            </w:pPr>
            <w:r w:rsidRPr="008C168D">
              <w:rPr>
                <w:sz w:val="20"/>
                <w:szCs w:val="20"/>
              </w:rPr>
              <w:t>R4</w:t>
            </w:r>
          </w:p>
        </w:tc>
        <w:tc>
          <w:tcPr>
            <w:tcW w:w="2592" w:type="dxa"/>
          </w:tcPr>
          <w:p w14:paraId="38D4E6BA" w14:textId="77777777" w:rsidR="00CD2158" w:rsidRPr="008C168D" w:rsidRDefault="00000000">
            <w:pPr>
              <w:rPr>
                <w:sz w:val="20"/>
                <w:szCs w:val="20"/>
              </w:rPr>
            </w:pPr>
            <w:r w:rsidRPr="008C168D">
              <w:rPr>
                <w:sz w:val="20"/>
                <w:szCs w:val="20"/>
              </w:rPr>
              <w:t>Risk Analyst</w:t>
            </w:r>
          </w:p>
        </w:tc>
        <w:tc>
          <w:tcPr>
            <w:tcW w:w="2880" w:type="dxa"/>
          </w:tcPr>
          <w:p w14:paraId="5AA44097" w14:textId="77777777" w:rsidR="00CD2158" w:rsidRPr="008C168D" w:rsidRDefault="00000000">
            <w:pPr>
              <w:rPr>
                <w:sz w:val="20"/>
                <w:szCs w:val="20"/>
              </w:rPr>
            </w:pPr>
            <w:r w:rsidRPr="008C168D">
              <w:rPr>
                <w:sz w:val="20"/>
                <w:szCs w:val="20"/>
              </w:rPr>
              <w:t>Next.js (War Room)</w:t>
            </w:r>
          </w:p>
        </w:tc>
        <w:tc>
          <w:tcPr>
            <w:tcW w:w="3600" w:type="dxa"/>
          </w:tcPr>
          <w:p w14:paraId="6A4EC495" w14:textId="77777777" w:rsidR="00CD2158" w:rsidRPr="008C168D" w:rsidRDefault="00000000">
            <w:pPr>
              <w:rPr>
                <w:sz w:val="20"/>
                <w:szCs w:val="20"/>
              </w:rPr>
            </w:pPr>
            <w:r w:rsidRPr="008C168D">
              <w:rPr>
                <w:sz w:val="20"/>
                <w:szCs w:val="20"/>
              </w:rPr>
              <w:t>Detection studio, policy editing</w:t>
            </w:r>
          </w:p>
        </w:tc>
      </w:tr>
      <w:tr w:rsidR="00CD2158" w:rsidRPr="008C168D" w14:paraId="55AD4838" w14:textId="77777777">
        <w:trPr>
          <w:jc w:val="center"/>
        </w:trPr>
        <w:tc>
          <w:tcPr>
            <w:tcW w:w="864" w:type="dxa"/>
          </w:tcPr>
          <w:p w14:paraId="0E972634" w14:textId="77777777" w:rsidR="00CD2158" w:rsidRPr="008C168D" w:rsidRDefault="00000000">
            <w:pPr>
              <w:rPr>
                <w:sz w:val="20"/>
                <w:szCs w:val="20"/>
              </w:rPr>
            </w:pPr>
            <w:r w:rsidRPr="008C168D">
              <w:rPr>
                <w:sz w:val="20"/>
                <w:szCs w:val="20"/>
              </w:rPr>
              <w:t>R5</w:t>
            </w:r>
          </w:p>
        </w:tc>
        <w:tc>
          <w:tcPr>
            <w:tcW w:w="2592" w:type="dxa"/>
          </w:tcPr>
          <w:p w14:paraId="57A14BEA" w14:textId="77777777" w:rsidR="00CD2158" w:rsidRPr="008C168D" w:rsidRDefault="00000000">
            <w:pPr>
              <w:rPr>
                <w:sz w:val="20"/>
                <w:szCs w:val="20"/>
              </w:rPr>
            </w:pPr>
            <w:r w:rsidRPr="008C168D">
              <w:rPr>
                <w:sz w:val="20"/>
                <w:szCs w:val="20"/>
              </w:rPr>
              <w:t>Administrator</w:t>
            </w:r>
          </w:p>
        </w:tc>
        <w:tc>
          <w:tcPr>
            <w:tcW w:w="2880" w:type="dxa"/>
          </w:tcPr>
          <w:p w14:paraId="61EA4498" w14:textId="77777777" w:rsidR="00CD2158" w:rsidRPr="008C168D" w:rsidRDefault="00000000">
            <w:pPr>
              <w:rPr>
                <w:sz w:val="20"/>
                <w:szCs w:val="20"/>
              </w:rPr>
            </w:pPr>
            <w:r w:rsidRPr="008C168D">
              <w:rPr>
                <w:sz w:val="20"/>
                <w:szCs w:val="20"/>
              </w:rPr>
              <w:t>Next.js (War Room)</w:t>
            </w:r>
          </w:p>
        </w:tc>
        <w:tc>
          <w:tcPr>
            <w:tcW w:w="3600" w:type="dxa"/>
          </w:tcPr>
          <w:p w14:paraId="73566D55" w14:textId="77777777" w:rsidR="00CD2158" w:rsidRPr="008C168D" w:rsidRDefault="00000000">
            <w:pPr>
              <w:rPr>
                <w:sz w:val="20"/>
                <w:szCs w:val="20"/>
              </w:rPr>
            </w:pPr>
            <w:r w:rsidRPr="008C168D">
              <w:rPr>
                <w:sz w:val="20"/>
                <w:szCs w:val="20"/>
              </w:rPr>
              <w:t>User management, enforcement actions</w:t>
            </w:r>
          </w:p>
        </w:tc>
      </w:tr>
      <w:tr w:rsidR="00CD2158" w:rsidRPr="008C168D" w14:paraId="693A3B46" w14:textId="77777777">
        <w:trPr>
          <w:jc w:val="center"/>
        </w:trPr>
        <w:tc>
          <w:tcPr>
            <w:tcW w:w="864" w:type="dxa"/>
          </w:tcPr>
          <w:p w14:paraId="73B86D60" w14:textId="77777777" w:rsidR="00CD2158" w:rsidRPr="008C168D" w:rsidRDefault="00000000">
            <w:pPr>
              <w:rPr>
                <w:sz w:val="20"/>
                <w:szCs w:val="20"/>
              </w:rPr>
            </w:pPr>
            <w:r w:rsidRPr="008C168D">
              <w:rPr>
                <w:sz w:val="20"/>
                <w:szCs w:val="20"/>
              </w:rPr>
              <w:t>R6</w:t>
            </w:r>
          </w:p>
        </w:tc>
        <w:tc>
          <w:tcPr>
            <w:tcW w:w="2592" w:type="dxa"/>
          </w:tcPr>
          <w:p w14:paraId="0548DE56" w14:textId="77777777" w:rsidR="00CD2158" w:rsidRPr="008C168D" w:rsidRDefault="00000000">
            <w:pPr>
              <w:rPr>
                <w:sz w:val="20"/>
                <w:szCs w:val="20"/>
              </w:rPr>
            </w:pPr>
            <w:r w:rsidRPr="008C168D">
              <w:rPr>
                <w:sz w:val="20"/>
                <w:szCs w:val="20"/>
              </w:rPr>
              <w:t>Super Admin</w:t>
            </w:r>
          </w:p>
        </w:tc>
        <w:tc>
          <w:tcPr>
            <w:tcW w:w="2880" w:type="dxa"/>
          </w:tcPr>
          <w:p w14:paraId="5786306E" w14:textId="77777777" w:rsidR="00CD2158" w:rsidRPr="008C168D" w:rsidRDefault="00000000">
            <w:pPr>
              <w:rPr>
                <w:sz w:val="20"/>
                <w:szCs w:val="20"/>
              </w:rPr>
            </w:pPr>
            <w:r w:rsidRPr="008C168D">
              <w:rPr>
                <w:sz w:val="20"/>
                <w:szCs w:val="20"/>
              </w:rPr>
              <w:t>Next.js (War Room)</w:t>
            </w:r>
          </w:p>
        </w:tc>
        <w:tc>
          <w:tcPr>
            <w:tcW w:w="3600" w:type="dxa"/>
          </w:tcPr>
          <w:p w14:paraId="51FCC5B9" w14:textId="77777777" w:rsidR="00CD2158" w:rsidRPr="008C168D" w:rsidRDefault="00000000">
            <w:pPr>
              <w:rPr>
                <w:sz w:val="20"/>
                <w:szCs w:val="20"/>
              </w:rPr>
            </w:pPr>
            <w:r w:rsidRPr="008C168D">
              <w:rPr>
                <w:sz w:val="20"/>
                <w:szCs w:val="20"/>
              </w:rPr>
              <w:t>Emergency override, full audit access</w:t>
            </w:r>
          </w:p>
        </w:tc>
      </w:tr>
    </w:tbl>
    <w:p w14:paraId="55E25A04" w14:textId="77777777" w:rsidR="00C20CD3" w:rsidRPr="008C168D" w:rsidRDefault="00000000" w:rsidP="00C20CD3">
      <w:pPr>
        <w:rPr>
          <w:i/>
          <w:color w:val="444444"/>
          <w:sz w:val="20"/>
          <w:szCs w:val="20"/>
        </w:rPr>
      </w:pPr>
      <w:r w:rsidRPr="008C168D">
        <w:rPr>
          <w:i/>
          <w:color w:val="444444"/>
          <w:sz w:val="20"/>
          <w:szCs w:val="20"/>
        </w:rPr>
        <w:t>Each role is defined in a shared configuration file used by both the mobile app and the web dashboard. Access restrictions are enforced at the backend server level rather than on the visible interface, meaning they cannot be bypassed by manipulating what appears on screen.</w:t>
      </w:r>
    </w:p>
    <w:p w14:paraId="693C3DEF" w14:textId="77777777" w:rsidR="00C20CD3" w:rsidRPr="008C168D" w:rsidRDefault="00C20CD3" w:rsidP="00C20CD3">
      <w:pPr>
        <w:rPr>
          <w:i/>
          <w:color w:val="444444"/>
          <w:sz w:val="20"/>
          <w:szCs w:val="20"/>
        </w:rPr>
      </w:pPr>
    </w:p>
    <w:p w14:paraId="22C0F72F" w14:textId="77777777" w:rsidR="00C20CD3" w:rsidRPr="008C168D" w:rsidRDefault="00C20CD3" w:rsidP="00C20CD3">
      <w:pPr>
        <w:rPr>
          <w:i/>
          <w:color w:val="444444"/>
          <w:sz w:val="20"/>
          <w:szCs w:val="20"/>
        </w:rPr>
      </w:pPr>
    </w:p>
    <w:p w14:paraId="1B943CC2" w14:textId="19FE8FE1" w:rsidR="00CD2158" w:rsidRPr="008C168D" w:rsidRDefault="00000000" w:rsidP="00C20CD3">
      <w:pPr>
        <w:jc w:val="center"/>
        <w:rPr>
          <w:sz w:val="20"/>
          <w:szCs w:val="20"/>
        </w:rPr>
      </w:pPr>
      <w:r w:rsidRPr="008C168D">
        <w:rPr>
          <w:noProof/>
          <w:sz w:val="20"/>
          <w:szCs w:val="20"/>
        </w:rPr>
        <w:drawing>
          <wp:inline distT="0" distB="0" distL="0" distR="0" wp14:anchorId="5F81DFC3" wp14:editId="74DAFDAA">
            <wp:extent cx="6324600" cy="35941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rroom_alerts.png"/>
                    <pic:cNvPicPr/>
                  </pic:nvPicPr>
                  <pic:blipFill>
                    <a:blip r:embed="rId8"/>
                    <a:stretch>
                      <a:fillRect/>
                    </a:stretch>
                  </pic:blipFill>
                  <pic:spPr>
                    <a:xfrm>
                      <a:off x="0" y="0"/>
                      <a:ext cx="6326364" cy="3595102"/>
                    </a:xfrm>
                    <a:prstGeom prst="rect">
                      <a:avLst/>
                    </a:prstGeom>
                  </pic:spPr>
                </pic:pic>
              </a:graphicData>
            </a:graphic>
          </wp:inline>
        </w:drawing>
      </w:r>
    </w:p>
    <w:p w14:paraId="7C164FCC" w14:textId="555413AF" w:rsidR="00C20CD3" w:rsidRPr="008C168D" w:rsidRDefault="00000000" w:rsidP="008C168D">
      <w:pPr>
        <w:rPr>
          <w:sz w:val="20"/>
          <w:szCs w:val="20"/>
        </w:rPr>
      </w:pPr>
      <w:r w:rsidRPr="008C168D">
        <w:rPr>
          <w:i/>
          <w:color w:val="444444"/>
          <w:sz w:val="20"/>
          <w:szCs w:val="20"/>
        </w:rPr>
        <w:lastRenderedPageBreak/>
        <w:t>Figure 3: War Room Alerts panel (Compliance Officers and above, enforced server-side) — 100 live critical alerts with severity scores and flag reasons. Role access is denied at the backend, so bypassing the UI restriction gains nothing.</w:t>
      </w:r>
    </w:p>
    <w:p w14:paraId="0210D2DC" w14:textId="77777777" w:rsidR="008C168D" w:rsidRDefault="008C168D">
      <w:pPr>
        <w:spacing w:before="60"/>
        <w:rPr>
          <w:b/>
          <w:color w:val="1A2A4A"/>
          <w:sz w:val="20"/>
          <w:szCs w:val="20"/>
        </w:rPr>
      </w:pPr>
    </w:p>
    <w:p w14:paraId="08734D81" w14:textId="1583F313" w:rsidR="00CD2158" w:rsidRPr="008C168D" w:rsidRDefault="00000000">
      <w:pPr>
        <w:spacing w:before="60"/>
        <w:rPr>
          <w:sz w:val="20"/>
          <w:szCs w:val="20"/>
        </w:rPr>
      </w:pPr>
      <w:r w:rsidRPr="008C168D">
        <w:rPr>
          <w:b/>
          <w:color w:val="1A2A4A"/>
          <w:sz w:val="20"/>
          <w:szCs w:val="20"/>
        </w:rPr>
        <w:t>4. Model Explainability and Audit Trail</w:t>
      </w:r>
    </w:p>
    <w:p w14:paraId="4A7113EC" w14:textId="77777777" w:rsidR="00CD2158" w:rsidRPr="008C168D" w:rsidRDefault="00CD2158">
      <w:pPr>
        <w:pBdr>
          <w:bottom w:val="single" w:sz="8" w:space="1" w:color="1A2A4A"/>
        </w:pBdr>
        <w:spacing w:after="0"/>
        <w:rPr>
          <w:sz w:val="20"/>
          <w:szCs w:val="20"/>
        </w:rPr>
      </w:pPr>
    </w:p>
    <w:p w14:paraId="6F161834" w14:textId="77777777" w:rsidR="00CD2158" w:rsidRPr="008C168D" w:rsidRDefault="00000000">
      <w:pPr>
        <w:spacing w:after="40"/>
        <w:rPr>
          <w:sz w:val="20"/>
          <w:szCs w:val="20"/>
        </w:rPr>
      </w:pPr>
      <w:r w:rsidRPr="008C168D">
        <w:rPr>
          <w:sz w:val="20"/>
          <w:szCs w:val="20"/>
        </w:rPr>
        <w:t>If an officer receives a "CRITICAL — Block" decision with no reasoning, they cannot detect a manipulated model. The Explainability panel surfaces the contributing factors and their weighting for every automated decision, satisfying FCA/MiCA audit trail requirements.</w:t>
      </w:r>
    </w:p>
    <w:p w14:paraId="3DAB6A11" w14:textId="77777777" w:rsidR="00CD2158" w:rsidRPr="008C168D" w:rsidRDefault="00000000">
      <w:pPr>
        <w:jc w:val="center"/>
        <w:rPr>
          <w:sz w:val="20"/>
          <w:szCs w:val="20"/>
        </w:rPr>
      </w:pPr>
      <w:r w:rsidRPr="008C168D">
        <w:rPr>
          <w:noProof/>
          <w:sz w:val="20"/>
          <w:szCs w:val="20"/>
        </w:rPr>
        <w:drawing>
          <wp:inline distT="0" distB="0" distL="0" distR="0" wp14:anchorId="7C904E03" wp14:editId="07FFAC92">
            <wp:extent cx="6223000" cy="3136781"/>
            <wp:effectExtent l="0" t="0" r="635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rroom_explainability.png"/>
                    <pic:cNvPicPr/>
                  </pic:nvPicPr>
                  <pic:blipFill>
                    <a:blip r:embed="rId9"/>
                    <a:stretch>
                      <a:fillRect/>
                    </a:stretch>
                  </pic:blipFill>
                  <pic:spPr>
                    <a:xfrm>
                      <a:off x="0" y="0"/>
                      <a:ext cx="6231435" cy="3141033"/>
                    </a:xfrm>
                    <a:prstGeom prst="rect">
                      <a:avLst/>
                    </a:prstGeom>
                  </pic:spPr>
                </pic:pic>
              </a:graphicData>
            </a:graphic>
          </wp:inline>
        </w:drawing>
      </w:r>
    </w:p>
    <w:p w14:paraId="2074E233" w14:textId="77777777" w:rsidR="00C20CD3" w:rsidRPr="008C168D" w:rsidRDefault="00C20CD3">
      <w:pPr>
        <w:rPr>
          <w:i/>
          <w:color w:val="444444"/>
          <w:sz w:val="20"/>
          <w:szCs w:val="20"/>
        </w:rPr>
      </w:pPr>
    </w:p>
    <w:p w14:paraId="7410ECA8" w14:textId="47BC5E27" w:rsidR="00CD2158" w:rsidRPr="008C168D" w:rsidRDefault="00000000">
      <w:pPr>
        <w:rPr>
          <w:sz w:val="20"/>
          <w:szCs w:val="20"/>
        </w:rPr>
      </w:pPr>
      <w:r w:rsidRPr="008C168D">
        <w:rPr>
          <w:i/>
          <w:color w:val="444444"/>
          <w:sz w:val="20"/>
          <w:szCs w:val="20"/>
        </w:rPr>
        <w:t>Figure 4: Decision Explainability panel for a CRITICAL alert — contributing factors and their weights: High Risk Transfer 85%, Velocity Anomaly 78%, Sanctioned Address Proximity 65%, with direct link to the graph network view. Satisfies FCA/MiCA audit trail requirements without additional tooling.</w:t>
      </w:r>
    </w:p>
    <w:p w14:paraId="4853EB1B" w14:textId="77777777" w:rsidR="00CD2158" w:rsidRPr="008C168D" w:rsidRDefault="00000000">
      <w:pPr>
        <w:spacing w:before="60"/>
        <w:rPr>
          <w:sz w:val="20"/>
          <w:szCs w:val="20"/>
        </w:rPr>
      </w:pPr>
      <w:r w:rsidRPr="008C168D">
        <w:rPr>
          <w:b/>
          <w:color w:val="1A2A4A"/>
          <w:sz w:val="20"/>
          <w:szCs w:val="20"/>
        </w:rPr>
        <w:t>5. Consumer-Facing Layer — Flutter Focus Mode (R1/R2)</w:t>
      </w:r>
    </w:p>
    <w:p w14:paraId="566F513C" w14:textId="77777777" w:rsidR="00CD2158" w:rsidRPr="008C168D" w:rsidRDefault="00CD2158">
      <w:pPr>
        <w:pBdr>
          <w:bottom w:val="single" w:sz="8" w:space="1" w:color="1A2A4A"/>
        </w:pBdr>
        <w:spacing w:after="0"/>
        <w:rPr>
          <w:sz w:val="20"/>
          <w:szCs w:val="20"/>
        </w:rPr>
      </w:pPr>
    </w:p>
    <w:p w14:paraId="078C5041" w14:textId="77777777" w:rsidR="00CD2158" w:rsidRPr="008C168D" w:rsidRDefault="00000000">
      <w:pPr>
        <w:spacing w:after="40"/>
        <w:rPr>
          <w:sz w:val="20"/>
          <w:szCs w:val="20"/>
        </w:rPr>
      </w:pPr>
      <w:r w:rsidRPr="008C168D">
        <w:rPr>
          <w:sz w:val="20"/>
          <w:szCs w:val="20"/>
        </w:rPr>
        <w:t>The War Room serves compliance officers (R3–R6). The complementary consumer-facing layer is a Flutter mobile app targeting R1 (End User) and R2 (Politically Exposed Person). Both interfaces use the same backend and the same RBAC configuration — the product covers the full user spectrum from individual wallet holders to enterprise compliance teams. This dual-interface design is a deliberate architectural choice: a single compliance verdict is surfaced in a contextually appropriate UI for each role.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9"/>
        <w:gridCol w:w="4759"/>
      </w:tblGrid>
      <w:tr w:rsidR="00CD2158" w:rsidRPr="008C168D" w14:paraId="47177A36" w14:textId="77777777">
        <w:trPr>
          <w:jc w:val="center"/>
        </w:trPr>
        <w:tc>
          <w:tcPr>
            <w:tcW w:w="4309" w:type="dxa"/>
          </w:tcPr>
          <w:p w14:paraId="2CEF7ED8" w14:textId="77777777" w:rsidR="00CD2158" w:rsidRPr="008C168D" w:rsidRDefault="00000000">
            <w:pPr>
              <w:jc w:val="center"/>
              <w:rPr>
                <w:sz w:val="20"/>
                <w:szCs w:val="20"/>
              </w:rPr>
            </w:pPr>
            <w:r w:rsidRPr="008C168D">
              <w:rPr>
                <w:noProof/>
                <w:sz w:val="20"/>
                <w:szCs w:val="20"/>
              </w:rPr>
              <w:drawing>
                <wp:inline distT="0" distB="0" distL="0" distR="0" wp14:anchorId="7488EFAA" wp14:editId="66E951DA">
                  <wp:extent cx="3591560" cy="2362200"/>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_home_pep.png"/>
                          <pic:cNvPicPr/>
                        </pic:nvPicPr>
                        <pic:blipFill>
                          <a:blip r:embed="rId10"/>
                          <a:stretch>
                            <a:fillRect/>
                          </a:stretch>
                        </pic:blipFill>
                        <pic:spPr>
                          <a:xfrm>
                            <a:off x="0" y="0"/>
                            <a:ext cx="3591560" cy="2362200"/>
                          </a:xfrm>
                          <a:prstGeom prst="rect">
                            <a:avLst/>
                          </a:prstGeom>
                        </pic:spPr>
                      </pic:pic>
                    </a:graphicData>
                  </a:graphic>
                </wp:inline>
              </w:drawing>
            </w:r>
          </w:p>
        </w:tc>
        <w:tc>
          <w:tcPr>
            <w:tcW w:w="4309" w:type="dxa"/>
          </w:tcPr>
          <w:p w14:paraId="7AE1E4E7" w14:textId="77777777" w:rsidR="00CD2158" w:rsidRPr="008C168D" w:rsidRDefault="00000000">
            <w:pPr>
              <w:jc w:val="center"/>
              <w:rPr>
                <w:sz w:val="20"/>
                <w:szCs w:val="20"/>
              </w:rPr>
            </w:pPr>
            <w:r w:rsidRPr="008C168D">
              <w:rPr>
                <w:noProof/>
                <w:sz w:val="20"/>
                <w:szCs w:val="20"/>
              </w:rPr>
              <w:drawing>
                <wp:inline distT="0" distB="0" distL="0" distR="0" wp14:anchorId="18012091" wp14:editId="5AAB3A68">
                  <wp:extent cx="3155950" cy="234315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_activity_menu.png"/>
                          <pic:cNvPicPr/>
                        </pic:nvPicPr>
                        <pic:blipFill>
                          <a:blip r:embed="rId11"/>
                          <a:stretch>
                            <a:fillRect/>
                          </a:stretch>
                        </pic:blipFill>
                        <pic:spPr>
                          <a:xfrm>
                            <a:off x="0" y="0"/>
                            <a:ext cx="3155950" cy="2343150"/>
                          </a:xfrm>
                          <a:prstGeom prst="rect">
                            <a:avLst/>
                          </a:prstGeom>
                        </pic:spPr>
                      </pic:pic>
                    </a:graphicData>
                  </a:graphic>
                </wp:inline>
              </w:drawing>
            </w:r>
          </w:p>
        </w:tc>
      </w:tr>
      <w:tr w:rsidR="00CD2158" w:rsidRPr="008C168D" w14:paraId="60CFEDFE" w14:textId="77777777">
        <w:trPr>
          <w:jc w:val="center"/>
        </w:trPr>
        <w:tc>
          <w:tcPr>
            <w:tcW w:w="4309" w:type="dxa"/>
          </w:tcPr>
          <w:p w14:paraId="6AB8530A" w14:textId="77777777" w:rsidR="00CD2158" w:rsidRPr="008C168D" w:rsidRDefault="00000000">
            <w:pPr>
              <w:jc w:val="center"/>
              <w:rPr>
                <w:sz w:val="20"/>
                <w:szCs w:val="20"/>
              </w:rPr>
            </w:pPr>
            <w:r w:rsidRPr="008C168D">
              <w:rPr>
                <w:i/>
                <w:color w:val="444444"/>
                <w:sz w:val="20"/>
                <w:szCs w:val="20"/>
              </w:rPr>
              <w:t>Figure 5: Home screen</w:t>
            </w:r>
            <w:r w:rsidRPr="008C168D">
              <w:rPr>
                <w:i/>
                <w:color w:val="444444"/>
                <w:sz w:val="20"/>
                <w:szCs w:val="20"/>
              </w:rPr>
              <w:br/>
              <w:t>(R2 PEP / Enhanced Monitoring)</w:t>
            </w:r>
          </w:p>
        </w:tc>
        <w:tc>
          <w:tcPr>
            <w:tcW w:w="4309" w:type="dxa"/>
          </w:tcPr>
          <w:p w14:paraId="3C569647" w14:textId="77777777" w:rsidR="00CD2158" w:rsidRPr="008C168D" w:rsidRDefault="00000000">
            <w:pPr>
              <w:jc w:val="center"/>
              <w:rPr>
                <w:sz w:val="20"/>
                <w:szCs w:val="20"/>
              </w:rPr>
            </w:pPr>
            <w:r w:rsidRPr="008C168D">
              <w:rPr>
                <w:i/>
                <w:color w:val="444444"/>
                <w:sz w:val="20"/>
                <w:szCs w:val="20"/>
              </w:rPr>
              <w:t>Figure 6: Activity feed</w:t>
            </w:r>
            <w:r w:rsidRPr="008C168D">
              <w:rPr>
                <w:i/>
                <w:color w:val="444444"/>
                <w:sz w:val="20"/>
                <w:szCs w:val="20"/>
              </w:rPr>
              <w:br/>
              <w:t>&amp; navigation menu</w:t>
            </w:r>
          </w:p>
        </w:tc>
      </w:tr>
    </w:tbl>
    <w:p w14:paraId="23EA1F10" w14:textId="77777777" w:rsidR="00CD2158" w:rsidRPr="008C168D" w:rsidRDefault="00CD2158">
      <w:pPr>
        <w:rPr>
          <w:sz w:val="20"/>
          <w:szCs w:val="20"/>
        </w:rPr>
      </w:pPr>
    </w:p>
    <w:p w14:paraId="67B670F7" w14:textId="77777777" w:rsidR="00CD2158" w:rsidRPr="008C168D" w:rsidRDefault="00000000">
      <w:pPr>
        <w:rPr>
          <w:sz w:val="20"/>
          <w:szCs w:val="20"/>
        </w:rPr>
      </w:pPr>
      <w:r w:rsidRPr="008C168D">
        <w:rPr>
          <w:i/>
          <w:color w:val="444444"/>
          <w:sz w:val="20"/>
          <w:szCs w:val="20"/>
        </w:rPr>
        <w:t>Flutter Focus Mode: Home (R2 PEP) and Activity feed. Both screens connect to the same backend and RBAC configuration as the War Room. Sole-authored in Dart; runs on iOS, Android, Web, macOS, Windows, and Linux from a single codebase.</w:t>
      </w:r>
    </w:p>
    <w:sectPr w:rsidR="00CD2158" w:rsidRPr="008C168D" w:rsidSect="00034616">
      <w:pgSz w:w="11906" w:h="16838"/>
      <w:pgMar w:top="510" w:right="879" w:bottom="510" w:left="879" w:header="720" w:footer="720" w:gutter="0"/>
      <w:cols w:space="720"/>
      <w:docGrid w:linePitch="360"/>
    </w:sectPr>
    <w:p>
      <w:r>
        <w:rPr>
          <w:b/>
          <w:sz w:val="22"/>
        </w:rPr>
        <w:t>Independent Endorsement (Letter A)</w:t>
      </w:r>
    </w:p>
    <w:p>
      <w:pPr>
        <w:spacing w:before="80" w:after="80"/>
      </w:pPr>
      <w:r>
        <w:rPr>
          <w:i/>
          <w:sz w:val="20"/>
        </w:rPr>
        <w:t>Prof. A. S. O. Ogunjuyigbe independently reviewed the AMTTP platform and noted: “[The system comprises] a compliance orchestration engine of seven parallel microservices … The entire stack operates across 17 containerised microservices. In a university environment, a project of this scope would typically require a principal investigator, multiple postdoctoral researchers, and a team of PhD students. Olusegun has designed and implemented this system independently.” (Letter A — full text submitted as supporting reference letter.)</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2969935">
    <w:abstractNumId w:val="8"/>
  </w:num>
  <w:num w:numId="2" w16cid:durableId="848832284">
    <w:abstractNumId w:val="6"/>
  </w:num>
  <w:num w:numId="3" w16cid:durableId="1840190816">
    <w:abstractNumId w:val="5"/>
  </w:num>
  <w:num w:numId="4" w16cid:durableId="1071656194">
    <w:abstractNumId w:val="4"/>
  </w:num>
  <w:num w:numId="5" w16cid:durableId="954944069">
    <w:abstractNumId w:val="7"/>
  </w:num>
  <w:num w:numId="6" w16cid:durableId="1625963710">
    <w:abstractNumId w:val="3"/>
  </w:num>
  <w:num w:numId="7" w16cid:durableId="508716879">
    <w:abstractNumId w:val="2"/>
  </w:num>
  <w:num w:numId="8" w16cid:durableId="459883793">
    <w:abstractNumId w:val="1"/>
  </w:num>
  <w:num w:numId="9" w16cid:durableId="273442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7607"/>
    <w:rsid w:val="007C3D35"/>
    <w:rsid w:val="008C168D"/>
    <w:rsid w:val="00AA1D8D"/>
    <w:rsid w:val="00B47730"/>
    <w:rsid w:val="00C20CD3"/>
    <w:rsid w:val="00C83E95"/>
    <w:rsid w:val="00CB0664"/>
    <w:rsid w:val="00CD2158"/>
    <w:rsid w:val="00E906E1"/>
    <w:rsid w:val="00E9112D"/>
    <w:rsid w:val="00EF32EA"/>
    <w:rsid w:val="00F218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4EA2AC"/>
  <w14:defaultImageDpi w14:val="300"/>
  <w15:docId w15:val="{84A7BA0C-27E9-4461-9178-AD497EDA9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
    </w:pPr>
    <w:rPr>
      <w:rFonts w:ascii="Calibri" w:hAnsi="Calibri"/>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757</Words>
  <Characters>4316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Israel Odeyemi</cp:lastModifiedBy>
  <cp:revision>2</cp:revision>
  <cp:lastPrinted>2026-05-18T08:56:00Z</cp:lastPrinted>
  <dcterms:created xsi:type="dcterms:W3CDTF">2026-05-19T13:04:00Z</dcterms:created>
  <dcterms:modified xsi:type="dcterms:W3CDTF">2026-05-19T13:04:00Z</dcterms:modified>
  <cp:category/>
</cp:coreProperties>
</file>