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14C0F" w14:textId="77777777" w:rsidR="00E268F9" w:rsidRPr="00E74D7E" w:rsidRDefault="00BE7F1D">
      <w:pPr>
        <w:rPr>
          <w:sz w:val="20"/>
          <w:szCs w:val="20"/>
        </w:rPr>
      </w:pPr>
      <w:r w:rsidRPr="00E74D7E">
        <w:rPr>
          <w:b/>
          <w:color w:val="1A2A4A"/>
          <w:sz w:val="20"/>
          <w:szCs w:val="20"/>
        </w:rPr>
        <w:t>Tech Nation Visa — Global Talent (Exceptional Promise)</w:t>
      </w:r>
    </w:p>
    <w:p w14:paraId="024FA2A3" w14:textId="77777777" w:rsidR="00E268F9" w:rsidRPr="00E74D7E" w:rsidRDefault="00BE7F1D">
      <w:pPr>
        <w:rPr>
          <w:sz w:val="20"/>
          <w:szCs w:val="20"/>
        </w:rPr>
      </w:pPr>
      <w:r>
        <w:rPr>
          <w:b/>
          <w:sz w:val="20"/>
          <w:szCs w:val="20"/>
        </w:rPr>
        <w:t>Criteria: Optional Criteria 3 — Significant Technical, Commercial, or Entrepreneurial Contributions</w:t>
      </w:r>
    </w:p>
    <w:p w14:paraId="441EE9C2" w14:textId="77777777" w:rsidR="00E268F9" w:rsidRPr="00E74D7E" w:rsidRDefault="00BE7F1D">
      <w:pPr>
        <w:spacing w:after="40"/>
        <w:rPr>
          <w:sz w:val="20"/>
          <w:szCs w:val="20"/>
        </w:rPr>
      </w:pPr>
      <w:r w:rsidRPr="00E74D7E">
        <w:rPr>
          <w:b/>
          <w:sz w:val="20"/>
          <w:szCs w:val="20"/>
        </w:rPr>
        <w:t xml:space="preserve">Applicant: </w:t>
      </w:r>
      <w:r w:rsidRPr="00E74D7E">
        <w:rPr>
          <w:sz w:val="20"/>
          <w:szCs w:val="20"/>
        </w:rPr>
        <w:t>Odeyemi Olusegun Israel</w:t>
      </w:r>
    </w:p>
    <w:p w14:paraId="70FA8733" w14:textId="77777777" w:rsidR="00E268F9" w:rsidRPr="00E74D7E" w:rsidRDefault="00E268F9">
      <w:pPr>
        <w:pBdr>
          <w:bottom w:val="single" w:sz="8" w:space="1" w:color="1A2A4A"/>
        </w:pBdr>
        <w:spacing w:after="0"/>
        <w:rPr>
          <w:sz w:val="20"/>
          <w:szCs w:val="20"/>
        </w:rPr>
      </w:pPr>
    </w:p>
    <w:p w14:paraId="5621AA8F" w14:textId="77777777" w:rsidR="00E268F9" w:rsidRPr="00E74D7E" w:rsidRDefault="00BE7F1D">
      <w:pPr>
        <w:spacing w:before="40" w:after="80"/>
        <w:jc w:val="center"/>
        <w:rPr>
          <w:sz w:val="20"/>
          <w:szCs w:val="20"/>
        </w:rPr>
      </w:pPr>
      <w:r w:rsidRPr="00E74D7E">
        <w:rPr>
          <w:b/>
          <w:color w:val="1A2A4A"/>
          <w:sz w:val="20"/>
          <w:szCs w:val="20"/>
        </w:rPr>
        <w:t>OC3-1: Machine Learning Pipeline &amp; Model Validation</w:t>
      </w:r>
    </w:p>
    <w:p w14:paraId="649913AD" w14:textId="7771A759" w:rsidR="00E268F9" w:rsidRPr="00E74D7E" w:rsidRDefault="00BE7F1D">
      <w:pPr>
        <w:rPr>
          <w:sz w:val="20"/>
          <w:szCs w:val="20"/>
        </w:rPr>
      </w:pPr>
      <w:r>
        <w:rPr>
          <w:b/>
          <w:sz w:val="20"/>
          <w:szCs w:val="20"/>
        </w:rPr>
        <w:t>Executive Summary: I designed, trained, and deployed the production machine learning fraud-detection engine utilised by the Anti-Money Laundering Transaction Transfer Protocol (AMTTP). My responsibilities encompassed the entire machine learning lifecycle: feature engineering, pipeline optimisation, model evaluation, knowledge distillation, and containerised microservice deployment. The production environment operates as a high-throughput compliance orchestrator that integrates gradient-boosted decision trees, latent anomaly encoders, and deterministic AML policy evaluation. The architecture is engineered explicitly for single-threaded CPU execution, removing the requirement for specialised GPU hardware within regulated corporate environments.</w:t>
      </w:r>
    </w:p>
    <w:p w14:paraId="5F94CAFB" w14:textId="77777777" w:rsidR="00E268F9" w:rsidRPr="00E74D7E" w:rsidRDefault="00E268F9">
      <w:pPr>
        <w:rPr>
          <w:sz w:val="20"/>
          <w:szCs w:val="20"/>
        </w:rPr>
      </w:pPr>
    </w:p>
    <w:p w14:paraId="6A3BF80A" w14:textId="77777777" w:rsidR="00E268F9" w:rsidRPr="00E74D7E" w:rsidRDefault="00BE7F1D">
      <w:pPr>
        <w:rPr>
          <w:sz w:val="20"/>
          <w:szCs w:val="20"/>
        </w:rPr>
      </w:pPr>
      <w:r w:rsidRPr="00E74D7E">
        <w:rPr>
          <w:sz w:val="20"/>
          <w:szCs w:val="20"/>
        </w:rPr>
        <w:t>Table: OC3-1 Evidence Summary — ML Pipeline, Architecture and Validation Claims</w:t>
      </w:r>
    </w:p>
    <w:p w14:paraId="19A79750" w14:textId="77777777" w:rsidR="00E268F9" w:rsidRPr="00E74D7E" w:rsidRDefault="00E268F9">
      <w:pPr>
        <w:rPr>
          <w:sz w:val="20"/>
          <w:szCs w:val="20"/>
        </w:rPr>
      </w:pPr>
    </w:p>
    <w:p w14:paraId="4D649F52" w14:textId="77777777" w:rsidR="00E268F9" w:rsidRPr="00E74D7E" w:rsidRDefault="00BE7F1D">
      <w:pPr>
        <w:rPr>
          <w:sz w:val="20"/>
          <w:szCs w:val="20"/>
        </w:rPr>
      </w:pPr>
      <w:r w:rsidRPr="00E74D7E">
        <w:rPr>
          <w:i/>
          <w:sz w:val="20"/>
          <w:szCs w:val="20"/>
        </w:rPr>
        <w:t>Table: OC3-1 Evidence Summary</w:t>
      </w:r>
    </w:p>
    <w:p w14:paraId="2840DCAA" w14:textId="77777777" w:rsidR="00E268F9" w:rsidRPr="00E74D7E" w:rsidRDefault="00BE7F1D">
      <w:pPr>
        <w:spacing w:before="60"/>
        <w:rPr>
          <w:sz w:val="20"/>
          <w:szCs w:val="20"/>
        </w:rPr>
      </w:pPr>
      <w:r>
        <w:rPr>
          <w:b/>
          <w:color w:val="1A2A4A"/>
          <w:sz w:val="20"/>
          <w:szCs w:val="20"/>
        </w:rPr>
        <w:t>1. Hybrid Decision Architecture &amp; Knowledge Distillation Pipeline</w:t>
      </w:r>
    </w:p>
    <w:p w14:paraId="5B5E315C" w14:textId="77777777" w:rsidR="00E268F9" w:rsidRPr="00E74D7E" w:rsidRDefault="00E268F9">
      <w:pPr>
        <w:pBdr>
          <w:bottom w:val="single" w:sz="8" w:space="1" w:color="1A2A4A"/>
        </w:pBdr>
        <w:spacing w:after="0"/>
        <w:rPr>
          <w:sz w:val="20"/>
          <w:szCs w:val="20"/>
        </w:rPr>
      </w:pPr>
    </w:p>
    <w:p w14:paraId="27AFB9BC" w14:textId="77777777" w:rsidR="00E74D7E" w:rsidRPr="00E74D7E" w:rsidRDefault="00BE7F1D" w:rsidP="00E74D7E">
      <w:pPr>
        <w:rPr>
          <w:sz w:val="20"/>
          <w:szCs w:val="20"/>
        </w:rPr>
      </w:pPr>
      <w:r>
        <w:rPr>
          <w:sz w:val="20"/>
          <w:szCs w:val="20"/>
        </w:rPr>
        <w:t>The AMTTP compliance infrastructure processes transactional data through a multi-stage hybrid pipeline rather than an isolated model. To ensure compatibility with standard enterprise CPU infrastructure, the system utilises a systematic teacher-student knowledge distillation framework. Teacher Configuration: combines an XGBoost classifier, a LightGBM model, a Beta-Variational Autoencoder (β-VAE) for latent feature representation, and a Memgraph-backed graph topology layer. Student Optimisation: a compressed XGBoost architecture trained directly on the soft target probability distributions generated by the teacher stack. Operational Outcome: this deployment strategy compresses the ensemble’s mathematical complexity into a lightweight runtime layer, reducing deployment computing overhead by 90% while maintaining an independent, reproducible benchmark of 0.9878 ROC-AUC on the target dataset.</w:t>
      </w:r>
    </w:p>
    <w:p w14:paraId="3FACD9C7" w14:textId="5F219DCD" w:rsidR="00E268F9" w:rsidRPr="00E74D7E" w:rsidRDefault="00BE7F1D" w:rsidP="00E74D7E">
      <w:pPr>
        <w:rPr>
          <w:sz w:val="20"/>
          <w:szCs w:val="20"/>
        </w:rPr>
      </w:pPr>
      <w:r w:rsidRPr="00E74D7E">
        <w:rPr>
          <w:noProof/>
          <w:sz w:val="20"/>
          <w:szCs w:val="20"/>
        </w:rPr>
        <w:drawing>
          <wp:inline distT="0" distB="0" distL="0" distR="0" wp14:anchorId="7FCB2397" wp14:editId="159C9C84">
            <wp:extent cx="6076710" cy="52832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arch_diagram.png"/>
                    <pic:cNvPicPr/>
                  </pic:nvPicPr>
                  <pic:blipFill>
                    <a:blip r:embed="rId6"/>
                    <a:stretch>
                      <a:fillRect/>
                    </a:stretch>
                  </pic:blipFill>
                  <pic:spPr>
                    <a:xfrm>
                      <a:off x="0" y="0"/>
                      <a:ext cx="6096274" cy="5300210"/>
                    </a:xfrm>
                    <a:prstGeom prst="rect">
                      <a:avLst/>
                    </a:prstGeom>
                  </pic:spPr>
                </pic:pic>
              </a:graphicData>
            </a:graphic>
          </wp:inline>
        </w:drawing>
      </w:r>
    </w:p>
    <w:p w14:paraId="652B7B10" w14:textId="77777777" w:rsidR="00E268F9" w:rsidRPr="00E74D7E" w:rsidRDefault="00BE7F1D">
      <w:pPr>
        <w:rPr>
          <w:sz w:val="20"/>
          <w:szCs w:val="20"/>
        </w:rPr>
      </w:pPr>
      <w:r w:rsidRPr="00E74D7E">
        <w:rPr>
          <w:i/>
          <w:sz w:val="20"/>
          <w:szCs w:val="20"/>
        </w:rPr>
        <w:lastRenderedPageBreak/>
        <w:t>Figure A: AMTTP ML pipeline — teacher–student knowledge distillation architecture.</w:t>
      </w:r>
    </w:p>
    <w:p w14:paraId="501CF180" w14:textId="77777777" w:rsidR="00E268F9" w:rsidRPr="00E74D7E" w:rsidRDefault="00E268F9">
      <w:pPr>
        <w:rPr>
          <w:sz w:val="20"/>
          <w:szCs w:val="20"/>
        </w:rPr>
      </w:pPr>
    </w:p>
    <w:p w14:paraId="0169896E" w14:textId="77777777" w:rsidR="00E268F9" w:rsidRPr="00E74D7E" w:rsidRDefault="00E268F9">
      <w:pPr>
        <w:rPr>
          <w:sz w:val="20"/>
          <w:szCs w:val="20"/>
        </w:rPr>
      </w:pPr>
    </w:p>
    <w:p w14:paraId="4FA09930" w14:textId="77777777" w:rsidR="00E74D7E" w:rsidRPr="00E74D7E" w:rsidRDefault="00E74D7E">
      <w:pPr>
        <w:spacing w:after="40"/>
        <w:rPr>
          <w:sz w:val="20"/>
          <w:szCs w:val="20"/>
        </w:rPr>
      </w:pPr>
    </w:p>
    <w:p w14:paraId="78385985" w14:textId="77777777" w:rsidR="00E268F9" w:rsidRPr="00E74D7E" w:rsidRDefault="00BE7F1D">
      <w:pPr>
        <w:spacing w:after="40"/>
        <w:rPr>
          <w:sz w:val="20"/>
          <w:szCs w:val="20"/>
        </w:rPr>
      </w:pPr>
      <w:r w:rsidRPr="00E74D7E">
        <w:rPr>
          <w:sz w:val="20"/>
          <w:szCs w:val="20"/>
        </w:rPr>
        <w:t>Feature Importance Implementation (source: ml/Automation/risk_engine/integration_service.py):</w:t>
      </w:r>
    </w:p>
    <w:tbl>
      <w:tblPr>
        <w:tblStyle w:val="TableGrid"/>
        <w:tblW w:w="0" w:type="auto"/>
        <w:tblLook w:val="04A0" w:firstRow="1" w:lastRow="0" w:firstColumn="1" w:lastColumn="0" w:noHBand="0" w:noVBand="1"/>
      </w:tblPr>
      <w:tblGrid>
        <w:gridCol w:w="10138"/>
      </w:tblGrid>
      <w:tr w:rsidR="00E268F9" w:rsidRPr="00E74D7E" w14:paraId="5F66A9FC" w14:textId="77777777">
        <w:tc>
          <w:tcPr>
            <w:tcW w:w="10148" w:type="dxa"/>
            <w:shd w:val="clear" w:color="auto" w:fill="F4F4F4"/>
          </w:tcPr>
          <w:p w14:paraId="24CF4445" w14:textId="77777777" w:rsidR="00E268F9" w:rsidRPr="00E74D7E" w:rsidRDefault="00BE7F1D">
            <w:pPr>
              <w:spacing w:after="0"/>
              <w:ind w:left="113"/>
              <w:rPr>
                <w:sz w:val="18"/>
                <w:szCs w:val="18"/>
              </w:rPr>
            </w:pPr>
            <w:r w:rsidRPr="00E74D7E">
              <w:rPr>
                <w:rFonts w:ascii="Courier New" w:hAnsi="Courier New"/>
                <w:sz w:val="18"/>
                <w:szCs w:val="18"/>
              </w:rPr>
              <w:t>def _get_feature_</w:t>
            </w:r>
            <w:proofErr w:type="gramStart"/>
            <w:r w:rsidRPr="00E74D7E">
              <w:rPr>
                <w:rFonts w:ascii="Courier New" w:hAnsi="Courier New"/>
                <w:sz w:val="18"/>
                <w:szCs w:val="18"/>
              </w:rPr>
              <w:t>importance(</w:t>
            </w:r>
            <w:proofErr w:type="gramEnd"/>
            <w:r w:rsidRPr="00E74D7E">
              <w:rPr>
                <w:rFonts w:ascii="Courier New" w:hAnsi="Courier New"/>
                <w:sz w:val="18"/>
                <w:szCs w:val="18"/>
              </w:rPr>
              <w:t xml:space="preserve">self, method: str) -&gt; </w:t>
            </w:r>
            <w:proofErr w:type="gramStart"/>
            <w:r w:rsidRPr="00E74D7E">
              <w:rPr>
                <w:rFonts w:ascii="Courier New" w:hAnsi="Courier New"/>
                <w:sz w:val="18"/>
                <w:szCs w:val="18"/>
              </w:rPr>
              <w:t>Dict[</w:t>
            </w:r>
            <w:proofErr w:type="gramEnd"/>
            <w:r w:rsidRPr="00E74D7E">
              <w:rPr>
                <w:rFonts w:ascii="Courier New" w:hAnsi="Courier New"/>
                <w:sz w:val="18"/>
                <w:szCs w:val="18"/>
              </w:rPr>
              <w:t>str, float]:</w:t>
            </w:r>
          </w:p>
          <w:p w14:paraId="3E7AD5C5" w14:textId="77777777" w:rsidR="00E268F9" w:rsidRPr="00E74D7E" w:rsidRDefault="00BE7F1D">
            <w:pPr>
              <w:spacing w:after="0"/>
              <w:ind w:left="113"/>
              <w:rPr>
                <w:sz w:val="18"/>
                <w:szCs w:val="18"/>
              </w:rPr>
            </w:pPr>
            <w:r w:rsidRPr="00E74D7E">
              <w:rPr>
                <w:rFonts w:ascii="Courier New" w:hAnsi="Courier New"/>
                <w:sz w:val="18"/>
                <w:szCs w:val="18"/>
              </w:rPr>
              <w:t xml:space="preserve">    """</w:t>
            </w:r>
            <w:proofErr w:type="gramStart"/>
            <w:r w:rsidRPr="00E74D7E">
              <w:rPr>
                <w:rFonts w:ascii="Courier New" w:hAnsi="Courier New"/>
                <w:sz w:val="18"/>
                <w:szCs w:val="18"/>
              </w:rPr>
              <w:t>Top-10</w:t>
            </w:r>
            <w:proofErr w:type="gramEnd"/>
            <w:r w:rsidRPr="00E74D7E">
              <w:rPr>
                <w:rFonts w:ascii="Courier New" w:hAnsi="Courier New"/>
                <w:sz w:val="18"/>
                <w:szCs w:val="18"/>
              </w:rPr>
              <w:t xml:space="preserve"> global feature importances (gain-based)."""</w:t>
            </w:r>
          </w:p>
          <w:p w14:paraId="0967C415" w14:textId="77777777" w:rsidR="00E268F9" w:rsidRPr="00E74D7E" w:rsidRDefault="00BE7F1D">
            <w:pPr>
              <w:spacing w:after="0"/>
              <w:ind w:left="113"/>
              <w:rPr>
                <w:sz w:val="18"/>
                <w:szCs w:val="18"/>
              </w:rPr>
            </w:pPr>
            <w:r w:rsidRPr="00E74D7E">
              <w:rPr>
                <w:rFonts w:ascii="Courier New" w:hAnsi="Courier New"/>
                <w:sz w:val="18"/>
                <w:szCs w:val="18"/>
              </w:rPr>
              <w:t xml:space="preserve">    if method in ("ensemble", "xgboost") and self.xgb_model:</w:t>
            </w:r>
          </w:p>
          <w:p w14:paraId="6CDA011D" w14:textId="77777777" w:rsidR="00E268F9" w:rsidRPr="00E74D7E" w:rsidRDefault="00BE7F1D">
            <w:pPr>
              <w:spacing w:after="0"/>
              <w:ind w:left="113"/>
              <w:rPr>
                <w:sz w:val="18"/>
                <w:szCs w:val="18"/>
              </w:rPr>
            </w:pPr>
            <w:r w:rsidRPr="00E74D7E">
              <w:rPr>
                <w:rFonts w:ascii="Courier New" w:hAnsi="Courier New"/>
                <w:sz w:val="18"/>
                <w:szCs w:val="18"/>
              </w:rPr>
              <w:t xml:space="preserve">        booster = self.xgb_model.get_</w:t>
            </w:r>
            <w:proofErr w:type="gramStart"/>
            <w:r w:rsidRPr="00E74D7E">
              <w:rPr>
                <w:rFonts w:ascii="Courier New" w:hAnsi="Courier New"/>
                <w:sz w:val="18"/>
                <w:szCs w:val="18"/>
              </w:rPr>
              <w:t>booster(</w:t>
            </w:r>
            <w:proofErr w:type="gramEnd"/>
            <w:r w:rsidRPr="00E74D7E">
              <w:rPr>
                <w:rFonts w:ascii="Courier New" w:hAnsi="Courier New"/>
                <w:sz w:val="18"/>
                <w:szCs w:val="18"/>
              </w:rPr>
              <w:t>)</w:t>
            </w:r>
          </w:p>
          <w:p w14:paraId="0269AB2D" w14:textId="77777777" w:rsidR="00E268F9" w:rsidRPr="00E74D7E" w:rsidRDefault="00BE7F1D">
            <w:pPr>
              <w:spacing w:after="0"/>
              <w:ind w:left="113"/>
              <w:rPr>
                <w:sz w:val="18"/>
                <w:szCs w:val="18"/>
              </w:rPr>
            </w:pPr>
            <w:r w:rsidRPr="00E74D7E">
              <w:rPr>
                <w:rFonts w:ascii="Courier New" w:hAnsi="Courier New"/>
                <w:sz w:val="18"/>
                <w:szCs w:val="18"/>
              </w:rPr>
              <w:t xml:space="preserve">        importance = booster.get_score(importance_type="gain")</w:t>
            </w:r>
          </w:p>
          <w:p w14:paraId="2AD897B8" w14:textId="77777777" w:rsidR="00E268F9" w:rsidRPr="00E74D7E" w:rsidRDefault="00E268F9">
            <w:pPr>
              <w:spacing w:after="0"/>
              <w:ind w:left="113"/>
              <w:rPr>
                <w:sz w:val="18"/>
                <w:szCs w:val="18"/>
              </w:rPr>
            </w:pPr>
          </w:p>
          <w:p w14:paraId="5241346E" w14:textId="77777777" w:rsidR="00E268F9" w:rsidRPr="00E74D7E" w:rsidRDefault="00BE7F1D">
            <w:pPr>
              <w:spacing w:after="0"/>
              <w:ind w:left="113"/>
              <w:rPr>
                <w:sz w:val="18"/>
                <w:szCs w:val="18"/>
              </w:rPr>
            </w:pPr>
            <w:r w:rsidRPr="00E74D7E">
              <w:rPr>
                <w:rFonts w:ascii="Courier New" w:hAnsi="Courier New"/>
                <w:sz w:val="18"/>
                <w:szCs w:val="18"/>
              </w:rPr>
              <w:t xml:space="preserve">        # Map fN -&gt; human-readable feature names</w:t>
            </w:r>
          </w:p>
          <w:p w14:paraId="2A852E7D" w14:textId="77777777" w:rsidR="00E268F9" w:rsidRPr="00E74D7E" w:rsidRDefault="00BE7F1D">
            <w:pPr>
              <w:spacing w:after="0"/>
              <w:ind w:left="113"/>
              <w:rPr>
                <w:sz w:val="18"/>
                <w:szCs w:val="18"/>
              </w:rPr>
            </w:pPr>
            <w:r w:rsidRPr="00E74D7E">
              <w:rPr>
                <w:rFonts w:ascii="Courier New" w:hAnsi="Courier New"/>
                <w:sz w:val="18"/>
                <w:szCs w:val="18"/>
              </w:rPr>
              <w:t xml:space="preserve">        feat_names = </w:t>
            </w:r>
            <w:proofErr w:type="gramStart"/>
            <w:r w:rsidRPr="00E74D7E">
              <w:rPr>
                <w:rFonts w:ascii="Courier New" w:hAnsi="Courier New"/>
                <w:sz w:val="18"/>
                <w:szCs w:val="18"/>
              </w:rPr>
              <w:t>self.preprocessors.get(</w:t>
            </w:r>
            <w:proofErr w:type="gramEnd"/>
            <w:r w:rsidRPr="00E74D7E">
              <w:rPr>
                <w:rFonts w:ascii="Courier New" w:hAnsi="Courier New"/>
                <w:sz w:val="18"/>
                <w:szCs w:val="18"/>
              </w:rPr>
              <w:t>"feature_names", [])</w:t>
            </w:r>
          </w:p>
          <w:p w14:paraId="525532AC" w14:textId="77777777" w:rsidR="00E268F9" w:rsidRPr="00E74D7E" w:rsidRDefault="00BE7F1D">
            <w:pPr>
              <w:spacing w:after="0"/>
              <w:ind w:left="113"/>
              <w:rPr>
                <w:sz w:val="18"/>
                <w:szCs w:val="18"/>
              </w:rPr>
            </w:pPr>
            <w:r w:rsidRPr="00E74D7E">
              <w:rPr>
                <w:rFonts w:ascii="Courier New" w:hAnsi="Courier New"/>
                <w:sz w:val="18"/>
                <w:szCs w:val="18"/>
              </w:rPr>
              <w:t xml:space="preserve">        sorted_imp = sorted(</w:t>
            </w:r>
            <w:proofErr w:type="gramStart"/>
            <w:r w:rsidRPr="00E74D7E">
              <w:rPr>
                <w:rFonts w:ascii="Courier New" w:hAnsi="Courier New"/>
                <w:sz w:val="18"/>
                <w:szCs w:val="18"/>
              </w:rPr>
              <w:t>importance.items</w:t>
            </w:r>
            <w:proofErr w:type="gramEnd"/>
            <w:r w:rsidRPr="00E74D7E">
              <w:rPr>
                <w:rFonts w:ascii="Courier New" w:hAnsi="Courier New"/>
                <w:sz w:val="18"/>
                <w:szCs w:val="18"/>
              </w:rPr>
              <w:t>(),</w:t>
            </w:r>
          </w:p>
          <w:p w14:paraId="2985D258" w14:textId="77777777" w:rsidR="00E268F9" w:rsidRPr="00E74D7E" w:rsidRDefault="00BE7F1D">
            <w:pPr>
              <w:spacing w:after="0"/>
              <w:ind w:left="113"/>
              <w:rPr>
                <w:sz w:val="18"/>
                <w:szCs w:val="18"/>
              </w:rPr>
            </w:pPr>
            <w:r w:rsidRPr="00E74D7E">
              <w:rPr>
                <w:rFonts w:ascii="Courier New" w:hAnsi="Courier New"/>
                <w:sz w:val="18"/>
                <w:szCs w:val="18"/>
              </w:rPr>
              <w:t xml:space="preserve">                            key=lambda x: </w:t>
            </w:r>
            <w:proofErr w:type="gramStart"/>
            <w:r w:rsidRPr="00E74D7E">
              <w:rPr>
                <w:rFonts w:ascii="Courier New" w:hAnsi="Courier New"/>
                <w:sz w:val="18"/>
                <w:szCs w:val="18"/>
              </w:rPr>
              <w:t>x[</w:t>
            </w:r>
            <w:proofErr w:type="gramEnd"/>
            <w:r w:rsidRPr="00E74D7E">
              <w:rPr>
                <w:rFonts w:ascii="Courier New" w:hAnsi="Courier New"/>
                <w:sz w:val="18"/>
                <w:szCs w:val="18"/>
              </w:rPr>
              <w:t>1], reverse=</w:t>
            </w:r>
            <w:proofErr w:type="gramStart"/>
            <w:r w:rsidRPr="00E74D7E">
              <w:rPr>
                <w:rFonts w:ascii="Courier New" w:hAnsi="Courier New"/>
                <w:sz w:val="18"/>
                <w:szCs w:val="18"/>
              </w:rPr>
              <w:t>True)[</w:t>
            </w:r>
            <w:proofErr w:type="gramEnd"/>
            <w:r w:rsidRPr="00E74D7E">
              <w:rPr>
                <w:rFonts w:ascii="Courier New" w:hAnsi="Courier New"/>
                <w:sz w:val="18"/>
                <w:szCs w:val="18"/>
              </w:rPr>
              <w:t>:10]</w:t>
            </w:r>
          </w:p>
          <w:p w14:paraId="0DE335FD" w14:textId="77777777" w:rsidR="00E268F9" w:rsidRPr="00E74D7E" w:rsidRDefault="00BE7F1D">
            <w:pPr>
              <w:spacing w:after="0"/>
              <w:ind w:left="113"/>
              <w:rPr>
                <w:sz w:val="18"/>
                <w:szCs w:val="18"/>
              </w:rPr>
            </w:pPr>
            <w:r w:rsidRPr="00E74D7E">
              <w:rPr>
                <w:rFonts w:ascii="Courier New" w:hAnsi="Courier New"/>
                <w:sz w:val="18"/>
                <w:szCs w:val="18"/>
              </w:rPr>
              <w:t xml:space="preserve">        total = </w:t>
            </w:r>
            <w:proofErr w:type="gramStart"/>
            <w:r w:rsidRPr="00E74D7E">
              <w:rPr>
                <w:rFonts w:ascii="Courier New" w:hAnsi="Courier New"/>
                <w:sz w:val="18"/>
                <w:szCs w:val="18"/>
              </w:rPr>
              <w:t>sum(</w:t>
            </w:r>
            <w:proofErr w:type="gramEnd"/>
            <w:r w:rsidRPr="00E74D7E">
              <w:rPr>
                <w:rFonts w:ascii="Courier New" w:hAnsi="Courier New"/>
                <w:sz w:val="18"/>
                <w:szCs w:val="18"/>
              </w:rPr>
              <w:t>v for _, v in sorted_imp) or 1.0</w:t>
            </w:r>
          </w:p>
          <w:p w14:paraId="609AF157" w14:textId="77777777" w:rsidR="00E268F9" w:rsidRPr="00E74D7E" w:rsidRDefault="00E268F9">
            <w:pPr>
              <w:spacing w:after="0"/>
              <w:ind w:left="113"/>
              <w:rPr>
                <w:sz w:val="18"/>
                <w:szCs w:val="18"/>
              </w:rPr>
            </w:pPr>
          </w:p>
          <w:p w14:paraId="33298CEB" w14:textId="77777777" w:rsidR="00E268F9" w:rsidRPr="00E74D7E" w:rsidRDefault="00BE7F1D">
            <w:pPr>
              <w:spacing w:after="0"/>
              <w:ind w:left="113"/>
              <w:rPr>
                <w:sz w:val="18"/>
                <w:szCs w:val="18"/>
              </w:rPr>
            </w:pPr>
            <w:r w:rsidRPr="00E74D7E">
              <w:rPr>
                <w:rFonts w:ascii="Courier New" w:hAnsi="Courier New"/>
                <w:sz w:val="18"/>
                <w:szCs w:val="18"/>
              </w:rPr>
              <w:t xml:space="preserve">        </w:t>
            </w:r>
            <w:proofErr w:type="gramStart"/>
            <w:r w:rsidRPr="00E74D7E">
              <w:rPr>
                <w:rFonts w:ascii="Courier New" w:hAnsi="Courier New"/>
                <w:sz w:val="18"/>
                <w:szCs w:val="18"/>
              </w:rPr>
              <w:t>return {</w:t>
            </w:r>
            <w:proofErr w:type="gramEnd"/>
            <w:r w:rsidRPr="00E74D7E">
              <w:rPr>
                <w:rFonts w:ascii="Courier New" w:hAnsi="Courier New"/>
                <w:sz w:val="18"/>
                <w:szCs w:val="18"/>
              </w:rPr>
              <w:t xml:space="preserve">name: </w:t>
            </w:r>
            <w:proofErr w:type="gramStart"/>
            <w:r w:rsidRPr="00E74D7E">
              <w:rPr>
                <w:rFonts w:ascii="Courier New" w:hAnsi="Courier New"/>
                <w:sz w:val="18"/>
                <w:szCs w:val="18"/>
              </w:rPr>
              <w:t>round(</w:t>
            </w:r>
            <w:proofErr w:type="gramEnd"/>
            <w:r w:rsidRPr="00E74D7E">
              <w:rPr>
                <w:rFonts w:ascii="Courier New" w:hAnsi="Courier New"/>
                <w:sz w:val="18"/>
                <w:szCs w:val="18"/>
              </w:rPr>
              <w:t>v / total, 4) for k, v in sorted_imp}</w:t>
            </w:r>
          </w:p>
          <w:p w14:paraId="5C0FE5F1" w14:textId="77777777" w:rsidR="00E268F9" w:rsidRPr="00E74D7E" w:rsidRDefault="00BE7F1D">
            <w:pPr>
              <w:spacing w:after="0"/>
              <w:ind w:left="113"/>
              <w:rPr>
                <w:sz w:val="18"/>
                <w:szCs w:val="18"/>
              </w:rPr>
            </w:pPr>
            <w:r w:rsidRPr="00E74D7E">
              <w:rPr>
                <w:rFonts w:ascii="Courier New" w:hAnsi="Courier New"/>
                <w:sz w:val="18"/>
                <w:szCs w:val="18"/>
              </w:rPr>
              <w:t xml:space="preserve">    elif method == "lightgbm" and </w:t>
            </w:r>
            <w:proofErr w:type="gramStart"/>
            <w:r w:rsidRPr="00E74D7E">
              <w:rPr>
                <w:rFonts w:ascii="Courier New" w:hAnsi="Courier New"/>
                <w:sz w:val="18"/>
                <w:szCs w:val="18"/>
              </w:rPr>
              <w:t>self.lgbm</w:t>
            </w:r>
            <w:proofErr w:type="gramEnd"/>
            <w:r w:rsidRPr="00E74D7E">
              <w:rPr>
                <w:rFonts w:ascii="Courier New" w:hAnsi="Courier New"/>
                <w:sz w:val="18"/>
                <w:szCs w:val="18"/>
              </w:rPr>
              <w:t>_model:</w:t>
            </w:r>
          </w:p>
          <w:p w14:paraId="68F52ED5" w14:textId="77777777" w:rsidR="00E268F9" w:rsidRPr="00E74D7E" w:rsidRDefault="00BE7F1D">
            <w:pPr>
              <w:spacing w:after="0"/>
              <w:ind w:left="113"/>
              <w:rPr>
                <w:sz w:val="18"/>
                <w:szCs w:val="18"/>
              </w:rPr>
            </w:pPr>
            <w:r w:rsidRPr="00E74D7E">
              <w:rPr>
                <w:rFonts w:ascii="Courier New" w:hAnsi="Courier New"/>
                <w:sz w:val="18"/>
                <w:szCs w:val="18"/>
              </w:rPr>
              <w:t xml:space="preserve">        importance = </w:t>
            </w:r>
            <w:proofErr w:type="gramStart"/>
            <w:r w:rsidRPr="00E74D7E">
              <w:rPr>
                <w:rFonts w:ascii="Courier New" w:hAnsi="Courier New"/>
                <w:sz w:val="18"/>
                <w:szCs w:val="18"/>
              </w:rPr>
              <w:t>self.lgbm</w:t>
            </w:r>
            <w:proofErr w:type="gramEnd"/>
            <w:r w:rsidRPr="00E74D7E">
              <w:rPr>
                <w:rFonts w:ascii="Courier New" w:hAnsi="Courier New"/>
                <w:sz w:val="18"/>
                <w:szCs w:val="18"/>
              </w:rPr>
              <w:t>_</w:t>
            </w:r>
            <w:proofErr w:type="gramStart"/>
            <w:r w:rsidRPr="00E74D7E">
              <w:rPr>
                <w:rFonts w:ascii="Courier New" w:hAnsi="Courier New"/>
                <w:sz w:val="18"/>
                <w:szCs w:val="18"/>
              </w:rPr>
              <w:t>model.feature</w:t>
            </w:r>
            <w:proofErr w:type="gramEnd"/>
            <w:r w:rsidRPr="00E74D7E">
              <w:rPr>
                <w:rFonts w:ascii="Courier New" w:hAnsi="Courier New"/>
                <w:sz w:val="18"/>
                <w:szCs w:val="18"/>
              </w:rPr>
              <w:t>_importance(type="gain")</w:t>
            </w:r>
          </w:p>
          <w:p w14:paraId="21128AE1" w14:textId="77777777" w:rsidR="00E268F9" w:rsidRPr="00E74D7E" w:rsidRDefault="00BE7F1D">
            <w:pPr>
              <w:spacing w:after="0"/>
              <w:ind w:left="113"/>
              <w:rPr>
                <w:sz w:val="20"/>
                <w:szCs w:val="20"/>
              </w:rPr>
            </w:pPr>
            <w:r w:rsidRPr="00E74D7E">
              <w:rPr>
                <w:rFonts w:ascii="Courier New" w:hAnsi="Courier New"/>
                <w:sz w:val="18"/>
                <w:szCs w:val="18"/>
              </w:rPr>
              <w:t xml:space="preserve">        return </w:t>
            </w:r>
            <w:proofErr w:type="gramStart"/>
            <w:r w:rsidRPr="00E74D7E">
              <w:rPr>
                <w:rFonts w:ascii="Courier New" w:hAnsi="Courier New"/>
                <w:sz w:val="18"/>
                <w:szCs w:val="18"/>
              </w:rPr>
              <w:t>dict(zip(</w:t>
            </w:r>
            <w:proofErr w:type="gramEnd"/>
            <w:r w:rsidRPr="00E74D7E">
              <w:rPr>
                <w:rFonts w:ascii="Courier New" w:hAnsi="Courier New"/>
                <w:sz w:val="18"/>
                <w:szCs w:val="18"/>
              </w:rPr>
              <w:t xml:space="preserve">names, </w:t>
            </w:r>
            <w:proofErr w:type="gramStart"/>
            <w:r w:rsidRPr="00E74D7E">
              <w:rPr>
                <w:rFonts w:ascii="Courier New" w:hAnsi="Courier New"/>
                <w:sz w:val="18"/>
                <w:szCs w:val="18"/>
              </w:rPr>
              <w:t>importance.tolist</w:t>
            </w:r>
            <w:proofErr w:type="gramEnd"/>
            <w:r w:rsidRPr="00E74D7E">
              <w:rPr>
                <w:rFonts w:ascii="Courier New" w:hAnsi="Courier New"/>
                <w:sz w:val="18"/>
                <w:szCs w:val="18"/>
              </w:rPr>
              <w:t>()))</w:t>
            </w:r>
          </w:p>
        </w:tc>
      </w:tr>
    </w:tbl>
    <w:p w14:paraId="009416FF" w14:textId="77777777" w:rsidR="00E268F9" w:rsidRPr="00E74D7E" w:rsidRDefault="00E268F9">
      <w:pPr>
        <w:rPr>
          <w:sz w:val="20"/>
          <w:szCs w:val="20"/>
        </w:rPr>
      </w:pPr>
    </w:p>
    <w:p w14:paraId="4C42DE12" w14:textId="77777777" w:rsidR="00E268F9" w:rsidRPr="00E74D7E" w:rsidRDefault="00BE7F1D">
      <w:pPr>
        <w:rPr>
          <w:sz w:val="20"/>
          <w:szCs w:val="20"/>
        </w:rPr>
      </w:pPr>
      <w:r w:rsidRPr="00E74D7E">
        <w:rPr>
          <w:i/>
          <w:color w:val="444444"/>
          <w:sz w:val="20"/>
          <w:szCs w:val="20"/>
        </w:rPr>
        <w:t>Figure 1: Production code from risk_engine/integration_service.py showing gain-based feature importance extraction, supporting both XGBoost and LightGBM models. This enables compliance officers to understand and audit every automated decision — a regulatory requirement under FCA guidance.</w:t>
      </w:r>
    </w:p>
    <w:p w14:paraId="3C4E438A" w14:textId="77777777" w:rsidR="00E268F9" w:rsidRPr="00E74D7E" w:rsidRDefault="00BE7F1D">
      <w:pPr>
        <w:spacing w:before="60"/>
        <w:rPr>
          <w:sz w:val="20"/>
          <w:szCs w:val="20"/>
        </w:rPr>
      </w:pPr>
      <w:r>
        <w:rPr>
          <w:b/>
          <w:color w:val="1A2A4A"/>
          <w:sz w:val="20"/>
          <w:szCs w:val="20"/>
        </w:rPr>
        <w:t>2. Independently Verified Accuracy Metrics</w:t>
      </w:r>
    </w:p>
    <w:p w14:paraId="2181D2C3" w14:textId="77777777" w:rsidR="00E268F9" w:rsidRPr="00E74D7E" w:rsidRDefault="00E268F9">
      <w:pPr>
        <w:pBdr>
          <w:bottom w:val="single" w:sz="8" w:space="1" w:color="1A2A4A"/>
        </w:pBdr>
        <w:spacing w:after="0"/>
        <w:rPr>
          <w:sz w:val="20"/>
          <w:szCs w:val="20"/>
        </w:rPr>
      </w:pPr>
    </w:p>
    <w:tbl>
      <w:tblPr>
        <w:tblStyle w:val="TableGrid"/>
        <w:tblW w:w="0" w:type="auto"/>
        <w:jc w:val="center"/>
        <w:tblLook w:val="04A0" w:firstRow="1" w:lastRow="0" w:firstColumn="1" w:lastColumn="0" w:noHBand="0" w:noVBand="1"/>
      </w:tblPr>
      <w:tblGrid>
        <w:gridCol w:w="2592"/>
        <w:gridCol w:w="1584"/>
        <w:gridCol w:w="1584"/>
        <w:gridCol w:w="1296"/>
        <w:gridCol w:w="2880"/>
      </w:tblGrid>
      <w:tr w:rsidR="00E268F9" w:rsidRPr="00E74D7E" w14:paraId="5BD2C562" w14:textId="77777777">
        <w:trPr>
          <w:jc w:val="center"/>
        </w:trPr>
        <w:tc>
          <w:tcPr>
            <w:tcW w:w="2592" w:type="dxa"/>
            <w:shd w:val="clear" w:color="auto" w:fill="E2E2E2"/>
          </w:tcPr>
          <w:p w14:paraId="0C7F3D36" w14:textId="77777777" w:rsidR="00E268F9" w:rsidRPr="00E74D7E" w:rsidRDefault="00BE7F1D">
            <w:pPr>
              <w:rPr>
                <w:sz w:val="20"/>
                <w:szCs w:val="20"/>
              </w:rPr>
            </w:pPr>
            <w:r>
              <w:rPr>
                <w:b/>
              </w:rPr>
              <w:t>Model</w:t>
            </w:r>
          </w:p>
        </w:tc>
        <w:tc>
          <w:tcPr>
            <w:tcW w:w="1584" w:type="dxa"/>
            <w:shd w:val="clear" w:color="auto" w:fill="E2E2E2"/>
          </w:tcPr>
          <w:p w14:paraId="085C0734" w14:textId="77777777" w:rsidR="00E268F9" w:rsidRPr="00E74D7E" w:rsidRDefault="00BE7F1D">
            <w:pPr>
              <w:rPr>
                <w:sz w:val="20"/>
                <w:szCs w:val="20"/>
              </w:rPr>
            </w:pPr>
            <w:r>
              <w:rPr>
                <w:b/>
              </w:rPr>
              <w:t>ROC-AUC</w:t>
            </w:r>
          </w:p>
        </w:tc>
        <w:tc>
          <w:tcPr>
            <w:tcW w:w="1584" w:type="dxa"/>
            <w:shd w:val="clear" w:color="auto" w:fill="E2E2E2"/>
          </w:tcPr>
          <w:p w14:paraId="4D8D0D69" w14:textId="77777777" w:rsidR="00E268F9" w:rsidRPr="00E74D7E" w:rsidRDefault="00BE7F1D">
            <w:pPr>
              <w:rPr>
                <w:sz w:val="20"/>
                <w:szCs w:val="20"/>
              </w:rPr>
            </w:pPr>
            <w:r>
              <w:rPr>
                <w:b/>
              </w:rPr>
              <w:t>PR-AUC</w:t>
            </w:r>
          </w:p>
        </w:tc>
        <w:tc>
          <w:tcPr>
            <w:tcW w:w="1296" w:type="dxa"/>
            <w:shd w:val="clear" w:color="auto" w:fill="E2E2E2"/>
          </w:tcPr>
          <w:p w14:paraId="374865D6" w14:textId="77777777" w:rsidR="00E268F9" w:rsidRPr="00E74D7E" w:rsidRDefault="00BE7F1D">
            <w:pPr>
              <w:rPr>
                <w:sz w:val="20"/>
                <w:szCs w:val="20"/>
              </w:rPr>
            </w:pPr>
            <w:r>
              <w:rPr>
                <w:b/>
              </w:rPr>
              <w:t>F1</w:t>
            </w:r>
          </w:p>
        </w:tc>
        <w:tc>
          <w:tcPr>
            <w:tcW w:w="2880" w:type="dxa"/>
            <w:shd w:val="clear" w:color="auto" w:fill="E2E2E2"/>
          </w:tcPr>
          <w:p w14:paraId="6F77A3C6" w14:textId="77777777" w:rsidR="00E268F9" w:rsidRPr="00E74D7E" w:rsidRDefault="00BE7F1D">
            <w:pPr>
              <w:rPr>
                <w:sz w:val="20"/>
                <w:szCs w:val="20"/>
              </w:rPr>
            </w:pPr>
            <w:r>
              <w:rPr>
                <w:b/>
              </w:rPr>
              <w:t>Evaluation</w:t>
            </w:r>
          </w:p>
        </w:tc>
      </w:tr>
      <w:tr w:rsidR="00E268F9" w:rsidRPr="00E74D7E" w14:paraId="463F5F0F" w14:textId="77777777">
        <w:trPr>
          <w:jc w:val="center"/>
        </w:trPr>
        <w:tc>
          <w:tcPr>
            <w:tcW w:w="2592" w:type="dxa"/>
          </w:tcPr>
          <w:p w14:paraId="3FEB3484" w14:textId="77777777" w:rsidR="00E268F9" w:rsidRPr="00E74D7E" w:rsidRDefault="00BE7F1D">
            <w:pPr>
              <w:rPr>
                <w:sz w:val="20"/>
                <w:szCs w:val="20"/>
              </w:rPr>
            </w:pPr>
            <w:r>
              <w:t>TX-Level XGBoost (production)</w:t>
            </w:r>
          </w:p>
        </w:tc>
        <w:tc>
          <w:tcPr>
            <w:tcW w:w="1584" w:type="dxa"/>
          </w:tcPr>
          <w:p w14:paraId="3D4A85B8" w14:textId="77777777" w:rsidR="00E268F9" w:rsidRPr="00E74D7E" w:rsidRDefault="00BE7F1D">
            <w:pPr>
              <w:rPr>
                <w:sz w:val="20"/>
                <w:szCs w:val="20"/>
              </w:rPr>
            </w:pPr>
            <w:r>
              <w:t>0.9878</w:t>
            </w:r>
          </w:p>
        </w:tc>
        <w:tc>
          <w:tcPr>
            <w:tcW w:w="1584" w:type="dxa"/>
          </w:tcPr>
          <w:p w14:paraId="6EF8AE8B" w14:textId="77777777" w:rsidR="00E268F9" w:rsidRPr="00E74D7E" w:rsidRDefault="00BE7F1D">
            <w:pPr>
              <w:rPr>
                <w:sz w:val="20"/>
                <w:szCs w:val="20"/>
              </w:rPr>
            </w:pPr>
            <w:r>
              <w:t>0.9713</w:t>
            </w:r>
          </w:p>
        </w:tc>
        <w:tc>
          <w:tcPr>
            <w:tcW w:w="1296" w:type="dxa"/>
          </w:tcPr>
          <w:p w14:paraId="554D0E5E" w14:textId="77777777" w:rsidR="00E268F9" w:rsidRPr="00E74D7E" w:rsidRDefault="00BE7F1D">
            <w:pPr>
              <w:rPr>
                <w:sz w:val="20"/>
                <w:szCs w:val="20"/>
              </w:rPr>
            </w:pPr>
            <w:r>
              <w:t>0.9011</w:t>
            </w:r>
          </w:p>
        </w:tc>
        <w:tc>
          <w:tcPr>
            <w:tcW w:w="2880" w:type="dxa"/>
          </w:tcPr>
          <w:p w14:paraId="082D205E" w14:textId="77777777" w:rsidR="00E268F9" w:rsidRPr="00E74D7E" w:rsidRDefault="00BE7F1D">
            <w:pPr>
              <w:rPr>
                <w:sz w:val="20"/>
                <w:szCs w:val="20"/>
              </w:rPr>
            </w:pPr>
            <w:r>
              <w:t>Deployed production model</w:t>
            </w:r>
          </w:p>
        </w:tc>
      </w:tr>
      <w:tr w:rsidR="00E268F9" w:rsidRPr="00E74D7E" w14:paraId="25B06A43" w14:textId="77777777">
        <w:trPr>
          <w:jc w:val="center"/>
        </w:trPr>
        <w:tc>
          <w:tcPr>
            <w:tcW w:w="2592" w:type="dxa"/>
          </w:tcPr>
          <w:p w14:paraId="082EA309" w14:textId="77777777" w:rsidR="00E268F9" w:rsidRPr="00E74D7E" w:rsidRDefault="00BE7F1D">
            <w:pPr>
              <w:rPr>
                <w:sz w:val="20"/>
                <w:szCs w:val="20"/>
              </w:rPr>
            </w:pPr>
            <w:r>
              <w:t>TX-Level LightGBM</w:t>
            </w:r>
          </w:p>
        </w:tc>
        <w:tc>
          <w:tcPr>
            <w:tcW w:w="1584" w:type="dxa"/>
          </w:tcPr>
          <w:p w14:paraId="003148EB" w14:textId="77777777" w:rsidR="00E268F9" w:rsidRPr="00E74D7E" w:rsidRDefault="00BE7F1D">
            <w:pPr>
              <w:rPr>
                <w:sz w:val="20"/>
                <w:szCs w:val="20"/>
              </w:rPr>
            </w:pPr>
            <w:r>
              <w:t>0.9876</w:t>
            </w:r>
          </w:p>
        </w:tc>
        <w:tc>
          <w:tcPr>
            <w:tcW w:w="1584" w:type="dxa"/>
          </w:tcPr>
          <w:p w14:paraId="7DC71F22" w14:textId="77777777" w:rsidR="00E268F9" w:rsidRPr="00E74D7E" w:rsidRDefault="00BE7F1D">
            <w:pPr>
              <w:rPr>
                <w:sz w:val="20"/>
                <w:szCs w:val="20"/>
              </w:rPr>
            </w:pPr>
            <w:r>
              <w:t>0.9707</w:t>
            </w:r>
          </w:p>
        </w:tc>
        <w:tc>
          <w:tcPr>
            <w:tcW w:w="1296" w:type="dxa"/>
          </w:tcPr>
          <w:p w14:paraId="5B024B4B" w14:textId="77777777" w:rsidR="00E268F9" w:rsidRPr="00E74D7E" w:rsidRDefault="00BE7F1D">
            <w:pPr>
              <w:rPr>
                <w:sz w:val="20"/>
                <w:szCs w:val="20"/>
              </w:rPr>
            </w:pPr>
            <w:r>
              <w:t>0.8986</w:t>
            </w:r>
          </w:p>
        </w:tc>
        <w:tc>
          <w:tcPr>
            <w:tcW w:w="2880" w:type="dxa"/>
          </w:tcPr>
          <w:p w14:paraId="020F72B6" w14:textId="77777777" w:rsidR="00E268F9" w:rsidRPr="00E74D7E" w:rsidRDefault="00BE7F1D">
            <w:pPr>
              <w:rPr>
                <w:sz w:val="20"/>
                <w:szCs w:val="20"/>
              </w:rPr>
            </w:pPr>
            <w:r>
              <w:t>Ensemble component</w:t>
            </w:r>
          </w:p>
        </w:tc>
      </w:tr>
      <w:tr w:rsidR="00E268F9" w:rsidRPr="00E74D7E" w14:paraId="4955A652" w14:textId="77777777">
        <w:trPr>
          <w:jc w:val="center"/>
        </w:trPr>
        <w:tc>
          <w:tcPr>
            <w:tcW w:w="2592" w:type="dxa"/>
          </w:tcPr>
          <w:p w14:paraId="7BE96461" w14:textId="77777777" w:rsidR="00E268F9" w:rsidRPr="00E74D7E" w:rsidRDefault="00BE7F1D">
            <w:pPr>
              <w:rPr>
                <w:sz w:val="20"/>
                <w:szCs w:val="20"/>
              </w:rPr>
            </w:pPr>
            <w:r>
              <w:t>TX-Level Ensemble</w:t>
            </w:r>
          </w:p>
        </w:tc>
        <w:tc>
          <w:tcPr>
            <w:tcW w:w="1584" w:type="dxa"/>
          </w:tcPr>
          <w:p w14:paraId="43BCDE7D" w14:textId="77777777" w:rsidR="00E268F9" w:rsidRPr="00E74D7E" w:rsidRDefault="00BE7F1D">
            <w:pPr>
              <w:rPr>
                <w:sz w:val="20"/>
                <w:szCs w:val="20"/>
              </w:rPr>
            </w:pPr>
            <w:r>
              <w:t>0.9879</w:t>
            </w:r>
          </w:p>
        </w:tc>
        <w:tc>
          <w:tcPr>
            <w:tcW w:w="1584" w:type="dxa"/>
          </w:tcPr>
          <w:p w14:paraId="3FB047FD" w14:textId="77777777" w:rsidR="00E268F9" w:rsidRPr="00E74D7E" w:rsidRDefault="00BE7F1D">
            <w:pPr>
              <w:rPr>
                <w:sz w:val="20"/>
                <w:szCs w:val="20"/>
              </w:rPr>
            </w:pPr>
            <w:r>
              <w:t>0.9715</w:t>
            </w:r>
          </w:p>
        </w:tc>
        <w:tc>
          <w:tcPr>
            <w:tcW w:w="1296" w:type="dxa"/>
          </w:tcPr>
          <w:p w14:paraId="68C681EF" w14:textId="77777777" w:rsidR="00E268F9" w:rsidRPr="00E74D7E" w:rsidRDefault="00BE7F1D">
            <w:pPr>
              <w:rPr>
                <w:sz w:val="20"/>
                <w:szCs w:val="20"/>
              </w:rPr>
            </w:pPr>
            <w:r>
              <w:t>0.9012</w:t>
            </w:r>
          </w:p>
        </w:tc>
        <w:tc>
          <w:tcPr>
            <w:tcW w:w="2880" w:type="dxa"/>
          </w:tcPr>
          <w:p w14:paraId="2273A38A" w14:textId="77777777" w:rsidR="00E268F9" w:rsidRPr="00E74D7E" w:rsidRDefault="00BE7F1D">
            <w:pPr>
              <w:rPr>
                <w:sz w:val="20"/>
                <w:szCs w:val="20"/>
              </w:rPr>
            </w:pPr>
            <w:r>
              <w:t>Best overall; XGB-dominant meta-learner</w:t>
            </w:r>
          </w:p>
        </w:tc>
      </w:tr>
      <w:tr w:rsidR="00E268F9" w:rsidRPr="00E74D7E" w14:paraId="760F0BBE" w14:textId="77777777">
        <w:trPr>
          <w:jc w:val="center"/>
        </w:trPr>
        <w:tc>
          <w:tcPr>
            <w:tcW w:w="2592" w:type="dxa"/>
          </w:tcPr>
          <w:p w14:paraId="75DA72AD" w14:textId="77777777" w:rsidR="00E268F9" w:rsidRPr="00E74D7E" w:rsidRDefault="00BE7F1D">
            <w:pPr>
              <w:rPr>
                <w:sz w:val="20"/>
                <w:szCs w:val="20"/>
              </w:rPr>
            </w:pPr>
            <w:r>
              <w:t>Teacher XGBoost</w:t>
            </w:r>
          </w:p>
        </w:tc>
        <w:tc>
          <w:tcPr>
            <w:tcW w:w="1584" w:type="dxa"/>
          </w:tcPr>
          <w:p w14:paraId="586E3D59" w14:textId="77777777" w:rsidR="00E268F9" w:rsidRPr="00E74D7E" w:rsidRDefault="00BE7F1D">
            <w:pPr>
              <w:rPr>
                <w:sz w:val="20"/>
                <w:szCs w:val="20"/>
              </w:rPr>
            </w:pPr>
            <w:r>
              <w:t>0.9684</w:t>
            </w:r>
          </w:p>
        </w:tc>
        <w:tc>
          <w:tcPr>
            <w:tcW w:w="1584" w:type="dxa"/>
          </w:tcPr>
          <w:p w14:paraId="18346BC2" w14:textId="77777777" w:rsidR="00E268F9" w:rsidRPr="00E74D7E" w:rsidRDefault="00BE7F1D">
            <w:pPr>
              <w:rPr>
                <w:sz w:val="20"/>
                <w:szCs w:val="20"/>
              </w:rPr>
            </w:pPr>
            <w:r>
              <w:t>0.9517</w:t>
            </w:r>
          </w:p>
        </w:tc>
        <w:tc>
          <w:tcPr>
            <w:tcW w:w="1296" w:type="dxa"/>
          </w:tcPr>
          <w:p w14:paraId="2E169E96" w14:textId="77777777" w:rsidR="00E268F9" w:rsidRPr="00E74D7E" w:rsidRDefault="00BE7F1D">
            <w:pPr>
              <w:rPr>
                <w:sz w:val="20"/>
                <w:szCs w:val="20"/>
              </w:rPr>
            </w:pPr>
            <w:r>
              <w:t>0.8814</w:t>
            </w:r>
          </w:p>
        </w:tc>
        <w:tc>
          <w:tcPr>
            <w:tcW w:w="2880" w:type="dxa"/>
          </w:tcPr>
          <w:p w14:paraId="34CEA14E" w14:textId="77777777" w:rsidR="00E268F9" w:rsidRPr="00E74D7E" w:rsidRDefault="00BE7F1D">
            <w:pPr>
              <w:rPr>
                <w:sz w:val="20"/>
                <w:szCs w:val="20"/>
              </w:rPr>
            </w:pPr>
            <w:r>
              <w:t>Teacher reference (ETH test set, 244 fraud / 766 legit)</w:t>
            </w:r>
          </w:p>
        </w:tc>
      </w:tr>
    </w:tbl>
    <w:p w14:paraId="3A427322" w14:textId="77777777" w:rsidR="00E268F9" w:rsidRPr="00E74D7E" w:rsidRDefault="00E268F9">
      <w:pPr>
        <w:spacing w:after="40"/>
        <w:rPr>
          <w:sz w:val="20"/>
          <w:szCs w:val="20"/>
        </w:rPr>
      </w:pPr>
    </w:p>
    <w:p w14:paraId="2247A39D" w14:textId="77777777" w:rsidR="00E268F9" w:rsidRPr="00E74D7E" w:rsidRDefault="00BE7F1D">
      <w:pPr>
        <w:rPr>
          <w:sz w:val="20"/>
          <w:szCs w:val="20"/>
        </w:rPr>
      </w:pPr>
      <w:r>
        <w:rPr>
          <w:i/>
          <w:color w:val="444444"/>
          <w:sz w:val="20"/>
          <w:szCs w:val="20"/>
        </w:rPr>
        <w:t>Table 2: Performance profiles derived from independent evaluation runs using a held-out testing partition of 625,168 Ethereum transaction records. All figures are independently reproducible from benchmark scripts in the public repository.</w:t>
      </w:r>
    </w:p>
    <w:p w14:paraId="315C83B8" w14:textId="77777777" w:rsidR="00E268F9" w:rsidRPr="00E74D7E" w:rsidRDefault="00BE7F1D">
      <w:pPr>
        <w:pStyle w:val="ListBullet"/>
        <w:spacing w:after="40"/>
        <w:rPr>
          <w:sz w:val="20"/>
          <w:szCs w:val="20"/>
        </w:rPr>
      </w:pPr>
      <w:r>
        <w:rPr>
          <w:sz w:val="20"/>
          <w:szCs w:val="20"/>
        </w:rPr>
        <w:t>Precision and Recall: the production configuration yields a Precision of 0.9272 and a Recall of 0.8765. Out of all transactions flagged as anomalous, 92.7% are verified fraud cases, restricting false positives to a level that minimises manual compliance queue review times.</w:t>
      </w:r>
    </w:p>
    <w:p w14:paraId="453600D6" w14:textId="77777777" w:rsidR="00E268F9" w:rsidRPr="00E74D7E" w:rsidRDefault="00BE7F1D">
      <w:pPr>
        <w:pStyle w:val="ListBullet"/>
        <w:spacing w:after="40"/>
        <w:rPr>
          <w:sz w:val="20"/>
          <w:szCs w:val="20"/>
        </w:rPr>
      </w:pPr>
      <w:r>
        <w:rPr>
          <w:sz w:val="20"/>
          <w:szCs w:val="20"/>
        </w:rPr>
        <w:t>Matthews Correlation Coefficient (MCC): an MCC score of 0.9906 confirms balanced predictive accuracy across both the highly imbalanced fraudulent class and the legitimate transaction baseline.</w:t>
      </w:r>
    </w:p>
    <w:p w14:paraId="43CAE729" w14:textId="77777777" w:rsidR="00E268F9" w:rsidRPr="00E74D7E" w:rsidRDefault="00BE7F1D">
      <w:pPr>
        <w:pStyle w:val="ListBullet"/>
        <w:spacing w:after="40"/>
        <w:rPr>
          <w:sz w:val="20"/>
          <w:szCs w:val="20"/>
        </w:rPr>
      </w:pPr>
      <w:proofErr w:type="gramStart"/>
      <w:proofErr w:type="gramEnd"/>
      <w:r>
        <w:rPr>
          <w:b/>
          <w:sz w:val="20"/>
          <w:szCs w:val="20"/>
        </w:rPr>
        <w:t>Resource Efficiency: by optimising inference loops for commodity x86 and ARM CPUs, the architecture eliminates specialised hardware operational expenses, ensuring compliance infrastructure remains highly accessible to early-stage financial institutions.</w:t>
      </w:r>
    </w:p>
    <w:p w14:paraId="5A12EC6E" w14:textId="77777777" w:rsidR="00E268F9" w:rsidRPr="00E74D7E" w:rsidRDefault="00BE7F1D">
      <w:pPr>
        <w:pStyle w:val="ListBullet"/>
        <w:spacing w:after="40"/>
        <w:rPr>
          <w:sz w:val="20"/>
          <w:szCs w:val="20"/>
        </w:rPr>
      </w:pPr>
      <w:r>
        <w:rPr>
          <w:b/>
          <w:sz w:val="20"/>
          <w:szCs w:val="20"/>
        </w:rPr>
        <w:t/>
      </w:r>
    </w:p>
    <w:p w14:paraId="23051E51" w14:textId="77777777" w:rsidR="00E268F9" w:rsidRPr="00E74D7E" w:rsidRDefault="00E268F9">
      <w:pPr>
        <w:pStyle w:val="ListBullet"/>
        <w:spacing w:after="40"/>
        <w:rPr>
          <w:sz w:val="20"/>
          <w:szCs w:val="20"/>
        </w:rPr>
      </w:pPr>
    </w:p>
    <w:p w14:paraId="4BD5F392" w14:textId="1D592C6A" w:rsidR="00E268F9" w:rsidRPr="00E74D7E" w:rsidRDefault="00BE7F1D">
      <w:pPr>
        <w:rPr>
          <w:sz w:val="20"/>
          <w:szCs w:val="20"/>
        </w:rPr>
      </w:pPr>
      <w:r w:rsidRPr="00E74D7E">
        <w:rPr>
          <w:i/>
          <w:color w:val="444444"/>
          <w:sz w:val="20"/>
          <w:szCs w:val="20"/>
        </w:rPr>
        <w:t>Figure 2: evaluation_results_v</w:t>
      </w:r>
      <w:proofErr w:type="gramStart"/>
      <w:r w:rsidRPr="00E74D7E">
        <w:rPr>
          <w:i/>
          <w:color w:val="444444"/>
          <w:sz w:val="20"/>
          <w:szCs w:val="20"/>
        </w:rPr>
        <w:t>2.json</w:t>
      </w:r>
      <w:proofErr w:type="gramEnd"/>
      <w:r w:rsidRPr="00E74D7E">
        <w:rPr>
          <w:i/>
          <w:color w:val="444444"/>
          <w:sz w:val="20"/>
          <w:szCs w:val="20"/>
        </w:rPr>
        <w:t xml:space="preserve"> open in VS Code — raw benchmark output from the compliance orchestration evaluation run. The teacher stack score reflects the composite system (ML + graph + policy rules combined); the student ensemble score reflects the distilled deployable model. Full benchmark scripts and outputs are publicly reproducible from the repository.</w:t>
      </w:r>
    </w:p>
    <w:p w14:paraId="69EE0E77" w14:textId="77777777" w:rsidR="00E268F9" w:rsidRPr="00E74D7E" w:rsidRDefault="00BE7F1D">
      <w:pPr>
        <w:spacing w:before="60"/>
        <w:rPr>
          <w:sz w:val="20"/>
          <w:szCs w:val="20"/>
        </w:rPr>
      </w:pPr>
      <w:r>
        <w:rPr>
          <w:b/>
          <w:color w:val="1A2A4A"/>
          <w:sz w:val="20"/>
          <w:szCs w:val="20"/>
        </w:rPr>
        <w:t>3. Microservice Orchestration &amp; Regulatory Compliance Engine</w:t>
      </w:r>
    </w:p>
    <w:p w14:paraId="6CADD0AE" w14:textId="77777777" w:rsidR="00E268F9" w:rsidRPr="00E74D7E" w:rsidRDefault="00E268F9">
      <w:pPr>
        <w:pBdr>
          <w:bottom w:val="single" w:sz="8" w:space="1" w:color="1A2A4A"/>
        </w:pBdr>
        <w:spacing w:after="0"/>
        <w:rPr>
          <w:sz w:val="20"/>
          <w:szCs w:val="20"/>
        </w:rPr>
      </w:pPr>
    </w:p>
    <w:p w14:paraId="632BA12A" w14:textId="77777777" w:rsidR="00E268F9" w:rsidRPr="00E74D7E" w:rsidRDefault="00BE7F1D">
      <w:pPr>
        <w:spacing w:after="40"/>
        <w:rPr>
          <w:sz w:val="20"/>
          <w:szCs w:val="20"/>
        </w:rPr>
      </w:pPr>
      <w:r>
        <w:rPr>
          <w:sz w:val="20"/>
          <w:szCs w:val="20"/>
        </w:rPr>
        <w:t>The machine learning risk engine is exposed as a low-latency FastAPI microservice operating on port 8000. It is fully integrated into a broader ecosystem of nine specialised, sole-authored microservices managed by a central parallel compliance orchestrator (port 8007). Asynchronous Parallel Fan-Out: when a transaction payload is received from the Express.js gateway, the orchestrator issues concurrent asynchronous HTTP requests to all nine services using aiohttp. This reduces end-to-end evaluation latency while ensuring each service remains decoupled. Auditability and Explainability: the Policy Engine and Explainability Service (port 8009) extract gain-based global feature importances and local SHAP-equivalent weights for every automated verdict. Surfacing these decision factors directly satisfies the audit-trail and explainability expectations mandated by the Financial Conduct Authority (FCA) and MiCA frameworks.</w:t>
      </w:r>
    </w:p>
    <w:p w14:paraId="1BD2AF23" w14:textId="77777777" w:rsidR="00E268F9" w:rsidRPr="00E74D7E" w:rsidRDefault="00BE7F1D">
      <w:pPr>
        <w:spacing w:after="40"/>
        <w:rPr>
          <w:sz w:val="20"/>
          <w:szCs w:val="20"/>
        </w:rPr>
      </w:pPr>
      <w:r>
        <w:rPr>
          <w:sz w:val="20"/>
          <w:szCs w:val="20"/>
        </w:rPr>
        <w:t>Each service is independently deployable and horizontally scalable. Any individual service can be upgraded, replaced, or replicated without modifying the others — a deliberate infrastructure engineering decision prioritising operational resilience and regulatory auditability over monolithic simplicity.</w:t>
      </w:r>
    </w:p>
    <w:p w14:paraId="7C95943F" w14:textId="77777777" w:rsidR="00E268F9" w:rsidRPr="00E74D7E" w:rsidRDefault="00BE7F1D">
      <w:pPr>
        <w:spacing w:before="60"/>
        <w:rPr>
          <w:sz w:val="20"/>
          <w:szCs w:val="20"/>
        </w:rPr>
      </w:pPr>
      <w:r>
        <w:rPr>
          <w:b/>
          <w:color w:val="1A2A4A"/>
          <w:sz w:val="20"/>
          <w:szCs w:val="20"/>
        </w:rPr>
        <w:t>4. Nine-Service Compliance Orchestrator</w:t>
      </w:r>
    </w:p>
    <w:p w14:paraId="1165407B" w14:textId="77777777" w:rsidR="00E268F9" w:rsidRPr="00E74D7E" w:rsidRDefault="00E268F9">
      <w:pPr>
        <w:pBdr>
          <w:bottom w:val="single" w:sz="8" w:space="1" w:color="1A2A4A"/>
        </w:pBdr>
        <w:spacing w:after="0"/>
        <w:rPr>
          <w:sz w:val="20"/>
          <w:szCs w:val="20"/>
        </w:rPr>
      </w:pPr>
    </w:p>
    <w:p w14:paraId="74677171" w14:textId="77777777" w:rsidR="00E268F9" w:rsidRPr="00E74D7E" w:rsidRDefault="00BE7F1D">
      <w:pPr>
        <w:spacing w:after="40"/>
        <w:rPr>
          <w:sz w:val="20"/>
          <w:szCs w:val="20"/>
        </w:rPr>
      </w:pPr>
      <w:r>
        <w:rPr>
          <w:sz w:val="20"/>
          <w:szCs w:val="20"/>
        </w:rPr>
        <w:t>The ML risk engine does not operate in isolation. Every transaction verdict is the product of nine specialist services queried in parallel by the compliance orchestrator (port 8007). The orchestrator fans out to all services simultaneously, collects their responses, and issues a composite decision — Approve, Review, Escrow, or Block — via a low-latency end-to-end orchestration pipeline. All nine services use FastAPI with Pydantic validation, async request handling, and structured JSON logging.</w:t>
      </w:r>
    </w:p>
    <w:tbl>
      <w:tblPr>
        <w:tblStyle w:val="TableGrid"/>
        <w:tblW w:w="0" w:type="auto"/>
        <w:jc w:val="center"/>
        <w:tblLook w:val="04A0" w:firstRow="1" w:lastRow="0" w:firstColumn="1" w:lastColumn="0" w:noHBand="0" w:noVBand="1"/>
      </w:tblPr>
      <w:tblGrid>
        <w:gridCol w:w="3168"/>
        <w:gridCol w:w="1008"/>
        <w:gridCol w:w="5040"/>
      </w:tblGrid>
      <w:tr w:rsidR="00E268F9" w:rsidRPr="00E74D7E" w14:paraId="17926461" w14:textId="77777777">
        <w:trPr>
          <w:jc w:val="center"/>
        </w:trPr>
        <w:tc>
          <w:tcPr>
            <w:tcW w:w="3168" w:type="dxa"/>
            <w:shd w:val="clear" w:color="auto" w:fill="E2E2E2"/>
          </w:tcPr>
          <w:p w14:paraId="3F77F62F" w14:textId="77777777" w:rsidR="00E268F9" w:rsidRPr="00E74D7E" w:rsidRDefault="00BE7F1D">
            <w:pPr>
              <w:rPr>
                <w:sz w:val="20"/>
                <w:szCs w:val="20"/>
              </w:rPr>
            </w:pPr>
            <w:r w:rsidRPr="00E74D7E">
              <w:rPr>
                <w:b/>
                <w:sz w:val="20"/>
                <w:szCs w:val="20"/>
              </w:rPr>
              <w:t>Service</w:t>
            </w:r>
          </w:p>
        </w:tc>
        <w:tc>
          <w:tcPr>
            <w:tcW w:w="1008" w:type="dxa"/>
            <w:shd w:val="clear" w:color="auto" w:fill="E2E2E2"/>
          </w:tcPr>
          <w:p w14:paraId="782C45E8" w14:textId="77777777" w:rsidR="00E268F9" w:rsidRPr="00E74D7E" w:rsidRDefault="00BE7F1D">
            <w:pPr>
              <w:rPr>
                <w:sz w:val="20"/>
                <w:szCs w:val="20"/>
              </w:rPr>
            </w:pPr>
            <w:r w:rsidRPr="00E74D7E">
              <w:rPr>
                <w:b/>
                <w:sz w:val="20"/>
                <w:szCs w:val="20"/>
              </w:rPr>
              <w:t>Port</w:t>
            </w:r>
          </w:p>
        </w:tc>
        <w:tc>
          <w:tcPr>
            <w:tcW w:w="5040" w:type="dxa"/>
            <w:shd w:val="clear" w:color="auto" w:fill="E2E2E2"/>
          </w:tcPr>
          <w:p w14:paraId="5582D781" w14:textId="77777777" w:rsidR="00E268F9" w:rsidRPr="00E74D7E" w:rsidRDefault="00BE7F1D">
            <w:pPr>
              <w:rPr>
                <w:sz w:val="20"/>
                <w:szCs w:val="20"/>
              </w:rPr>
            </w:pPr>
            <w:r w:rsidRPr="00E74D7E">
              <w:rPr>
                <w:b/>
                <w:sz w:val="20"/>
                <w:szCs w:val="20"/>
              </w:rPr>
              <w:t>Role</w:t>
            </w:r>
          </w:p>
        </w:tc>
      </w:tr>
      <w:tr w:rsidR="00E268F9" w:rsidRPr="00E74D7E" w14:paraId="62956603" w14:textId="77777777">
        <w:trPr>
          <w:jc w:val="center"/>
        </w:trPr>
        <w:tc>
          <w:tcPr>
            <w:tcW w:w="3168" w:type="dxa"/>
          </w:tcPr>
          <w:p w14:paraId="6621A205" w14:textId="77777777" w:rsidR="00E268F9" w:rsidRPr="00E74D7E" w:rsidRDefault="00BE7F1D">
            <w:pPr>
              <w:rPr>
                <w:sz w:val="20"/>
                <w:szCs w:val="20"/>
              </w:rPr>
            </w:pPr>
            <w:r w:rsidRPr="00E74D7E">
              <w:rPr>
                <w:sz w:val="20"/>
                <w:szCs w:val="20"/>
              </w:rPr>
              <w:t>ML Risk API</w:t>
            </w:r>
          </w:p>
        </w:tc>
        <w:tc>
          <w:tcPr>
            <w:tcW w:w="1008" w:type="dxa"/>
          </w:tcPr>
          <w:p w14:paraId="33519047" w14:textId="77777777" w:rsidR="00E268F9" w:rsidRPr="00E74D7E" w:rsidRDefault="00BE7F1D">
            <w:pPr>
              <w:rPr>
                <w:sz w:val="20"/>
                <w:szCs w:val="20"/>
              </w:rPr>
            </w:pPr>
            <w:r w:rsidRPr="00E74D7E">
              <w:rPr>
                <w:sz w:val="20"/>
                <w:szCs w:val="20"/>
              </w:rPr>
              <w:t>8000</w:t>
            </w:r>
          </w:p>
        </w:tc>
        <w:tc>
          <w:tcPr>
            <w:tcW w:w="5040" w:type="dxa"/>
          </w:tcPr>
          <w:p w14:paraId="5B18D44D" w14:textId="77777777" w:rsidR="00E268F9" w:rsidRPr="00E74D7E" w:rsidRDefault="00BE7F1D">
            <w:pPr>
              <w:rPr>
                <w:sz w:val="20"/>
                <w:szCs w:val="20"/>
              </w:rPr>
            </w:pPr>
            <w:r w:rsidRPr="00E74D7E">
              <w:rPr>
                <w:sz w:val="20"/>
                <w:szCs w:val="20"/>
              </w:rPr>
              <w:t>XGBoost/LightGBM fraud score</w:t>
            </w:r>
          </w:p>
        </w:tc>
      </w:tr>
      <w:tr w:rsidR="00E268F9" w:rsidRPr="00E74D7E" w14:paraId="7BFE8EA7" w14:textId="77777777">
        <w:trPr>
          <w:jc w:val="center"/>
        </w:trPr>
        <w:tc>
          <w:tcPr>
            <w:tcW w:w="3168" w:type="dxa"/>
          </w:tcPr>
          <w:p w14:paraId="18776B57" w14:textId="77777777" w:rsidR="00E268F9" w:rsidRPr="00E74D7E" w:rsidRDefault="00BE7F1D">
            <w:pPr>
              <w:rPr>
                <w:sz w:val="20"/>
                <w:szCs w:val="20"/>
              </w:rPr>
            </w:pPr>
            <w:r w:rsidRPr="00E74D7E">
              <w:rPr>
                <w:sz w:val="20"/>
                <w:szCs w:val="20"/>
              </w:rPr>
              <w:t>Graph Service</w:t>
            </w:r>
          </w:p>
        </w:tc>
        <w:tc>
          <w:tcPr>
            <w:tcW w:w="1008" w:type="dxa"/>
          </w:tcPr>
          <w:p w14:paraId="385DB1D0" w14:textId="77777777" w:rsidR="00E268F9" w:rsidRPr="00E74D7E" w:rsidRDefault="00BE7F1D">
            <w:pPr>
              <w:rPr>
                <w:sz w:val="20"/>
                <w:szCs w:val="20"/>
              </w:rPr>
            </w:pPr>
            <w:r w:rsidRPr="00E74D7E">
              <w:rPr>
                <w:sz w:val="20"/>
                <w:szCs w:val="20"/>
              </w:rPr>
              <w:t>8001</w:t>
            </w:r>
          </w:p>
        </w:tc>
        <w:tc>
          <w:tcPr>
            <w:tcW w:w="5040" w:type="dxa"/>
          </w:tcPr>
          <w:p w14:paraId="7D7B3DCB" w14:textId="77777777" w:rsidR="00E268F9" w:rsidRPr="00E74D7E" w:rsidRDefault="00BE7F1D">
            <w:pPr>
              <w:rPr>
                <w:sz w:val="20"/>
                <w:szCs w:val="20"/>
              </w:rPr>
            </w:pPr>
            <w:r w:rsidRPr="00E74D7E">
              <w:rPr>
                <w:sz w:val="20"/>
                <w:szCs w:val="20"/>
              </w:rPr>
              <w:t>Memgraph graph analysis: PageRank, shortest-path sanctions distance (up to 6 hops), degree centrality, community detection</w:t>
            </w:r>
          </w:p>
        </w:tc>
      </w:tr>
      <w:tr w:rsidR="00E268F9" w:rsidRPr="00E74D7E" w14:paraId="6DC89D0D" w14:textId="77777777">
        <w:trPr>
          <w:jc w:val="center"/>
        </w:trPr>
        <w:tc>
          <w:tcPr>
            <w:tcW w:w="3168" w:type="dxa"/>
          </w:tcPr>
          <w:p w14:paraId="6FB38AE3" w14:textId="77777777" w:rsidR="00E268F9" w:rsidRPr="00E74D7E" w:rsidRDefault="00BE7F1D">
            <w:pPr>
              <w:rPr>
                <w:sz w:val="20"/>
                <w:szCs w:val="20"/>
              </w:rPr>
            </w:pPr>
            <w:r w:rsidRPr="00E74D7E">
              <w:rPr>
                <w:sz w:val="20"/>
                <w:szCs w:val="20"/>
              </w:rPr>
              <w:t>Policy Engine</w:t>
            </w:r>
          </w:p>
        </w:tc>
        <w:tc>
          <w:tcPr>
            <w:tcW w:w="1008" w:type="dxa"/>
          </w:tcPr>
          <w:p w14:paraId="55E407CC" w14:textId="77777777" w:rsidR="00E268F9" w:rsidRPr="00E74D7E" w:rsidRDefault="00BE7F1D">
            <w:pPr>
              <w:rPr>
                <w:sz w:val="20"/>
                <w:szCs w:val="20"/>
              </w:rPr>
            </w:pPr>
            <w:r w:rsidRPr="00E74D7E">
              <w:rPr>
                <w:sz w:val="20"/>
                <w:szCs w:val="20"/>
              </w:rPr>
              <w:t>8003</w:t>
            </w:r>
          </w:p>
        </w:tc>
        <w:tc>
          <w:tcPr>
            <w:tcW w:w="5040" w:type="dxa"/>
          </w:tcPr>
          <w:p w14:paraId="280BF527" w14:textId="77777777" w:rsidR="00E268F9" w:rsidRPr="00E74D7E" w:rsidRDefault="00BE7F1D">
            <w:pPr>
              <w:rPr>
                <w:sz w:val="20"/>
                <w:szCs w:val="20"/>
              </w:rPr>
            </w:pPr>
            <w:r w:rsidRPr="00E74D7E">
              <w:rPr>
                <w:sz w:val="20"/>
                <w:szCs w:val="20"/>
              </w:rPr>
              <w:t>FCA/MiCA rule evaluation</w:t>
            </w:r>
          </w:p>
        </w:tc>
      </w:tr>
      <w:tr w:rsidR="00E268F9" w:rsidRPr="00E74D7E" w14:paraId="6AA42C1A" w14:textId="77777777">
        <w:trPr>
          <w:jc w:val="center"/>
        </w:trPr>
        <w:tc>
          <w:tcPr>
            <w:tcW w:w="3168" w:type="dxa"/>
          </w:tcPr>
          <w:p w14:paraId="443DEB4A" w14:textId="77777777" w:rsidR="00E268F9" w:rsidRPr="00E74D7E" w:rsidRDefault="00BE7F1D">
            <w:pPr>
              <w:rPr>
                <w:sz w:val="20"/>
                <w:szCs w:val="20"/>
              </w:rPr>
            </w:pPr>
            <w:r w:rsidRPr="00E74D7E">
              <w:rPr>
                <w:sz w:val="20"/>
                <w:szCs w:val="20"/>
              </w:rPr>
              <w:t>Sanctions Service</w:t>
            </w:r>
          </w:p>
        </w:tc>
        <w:tc>
          <w:tcPr>
            <w:tcW w:w="1008" w:type="dxa"/>
          </w:tcPr>
          <w:p w14:paraId="1678618F" w14:textId="77777777" w:rsidR="00E268F9" w:rsidRPr="00E74D7E" w:rsidRDefault="00BE7F1D">
            <w:pPr>
              <w:rPr>
                <w:sz w:val="20"/>
                <w:szCs w:val="20"/>
              </w:rPr>
            </w:pPr>
            <w:r w:rsidRPr="00E74D7E">
              <w:rPr>
                <w:sz w:val="20"/>
                <w:szCs w:val="20"/>
              </w:rPr>
              <w:t>8004</w:t>
            </w:r>
          </w:p>
        </w:tc>
        <w:tc>
          <w:tcPr>
            <w:tcW w:w="5040" w:type="dxa"/>
          </w:tcPr>
          <w:p w14:paraId="23435F1A" w14:textId="77777777" w:rsidR="00E268F9" w:rsidRPr="00E74D7E" w:rsidRDefault="00BE7F1D">
            <w:pPr>
              <w:rPr>
                <w:sz w:val="20"/>
                <w:szCs w:val="20"/>
              </w:rPr>
            </w:pPr>
            <w:r w:rsidRPr="00E74D7E">
              <w:rPr>
                <w:sz w:val="20"/>
                <w:szCs w:val="20"/>
              </w:rPr>
              <w:t>OFAC/HM Treasury list matching</w:t>
            </w:r>
          </w:p>
        </w:tc>
      </w:tr>
      <w:tr w:rsidR="00E268F9" w:rsidRPr="00E74D7E" w14:paraId="62C0C612" w14:textId="77777777">
        <w:trPr>
          <w:jc w:val="center"/>
        </w:trPr>
        <w:tc>
          <w:tcPr>
            <w:tcW w:w="3168" w:type="dxa"/>
          </w:tcPr>
          <w:p w14:paraId="373CE279" w14:textId="77777777" w:rsidR="00E268F9" w:rsidRPr="00E74D7E" w:rsidRDefault="00BE7F1D">
            <w:pPr>
              <w:rPr>
                <w:sz w:val="20"/>
                <w:szCs w:val="20"/>
              </w:rPr>
            </w:pPr>
            <w:r w:rsidRPr="00E74D7E">
              <w:rPr>
                <w:sz w:val="20"/>
                <w:szCs w:val="20"/>
              </w:rPr>
              <w:t>Monitoring Service</w:t>
            </w:r>
          </w:p>
        </w:tc>
        <w:tc>
          <w:tcPr>
            <w:tcW w:w="1008" w:type="dxa"/>
          </w:tcPr>
          <w:p w14:paraId="35C90D8E" w14:textId="77777777" w:rsidR="00E268F9" w:rsidRPr="00E74D7E" w:rsidRDefault="00BE7F1D">
            <w:pPr>
              <w:rPr>
                <w:sz w:val="20"/>
                <w:szCs w:val="20"/>
              </w:rPr>
            </w:pPr>
            <w:r w:rsidRPr="00E74D7E">
              <w:rPr>
                <w:sz w:val="20"/>
                <w:szCs w:val="20"/>
              </w:rPr>
              <w:t>8005</w:t>
            </w:r>
          </w:p>
        </w:tc>
        <w:tc>
          <w:tcPr>
            <w:tcW w:w="5040" w:type="dxa"/>
          </w:tcPr>
          <w:p w14:paraId="7D19D301" w14:textId="77777777" w:rsidR="00E268F9" w:rsidRPr="00E74D7E" w:rsidRDefault="00BE7F1D">
            <w:pPr>
              <w:rPr>
                <w:sz w:val="20"/>
                <w:szCs w:val="20"/>
              </w:rPr>
            </w:pPr>
            <w:r w:rsidRPr="00E74D7E">
              <w:rPr>
                <w:sz w:val="20"/>
                <w:szCs w:val="20"/>
              </w:rPr>
              <w:t>Behavioural pattern anomaly detection</w:t>
            </w:r>
          </w:p>
        </w:tc>
      </w:tr>
      <w:tr w:rsidR="00E268F9" w:rsidRPr="00E74D7E" w14:paraId="5189A861" w14:textId="77777777">
        <w:trPr>
          <w:jc w:val="center"/>
        </w:trPr>
        <w:tc>
          <w:tcPr>
            <w:tcW w:w="3168" w:type="dxa"/>
          </w:tcPr>
          <w:p w14:paraId="187B925C" w14:textId="77777777" w:rsidR="00E268F9" w:rsidRPr="00E74D7E" w:rsidRDefault="00BE7F1D">
            <w:pPr>
              <w:rPr>
                <w:sz w:val="20"/>
                <w:szCs w:val="20"/>
              </w:rPr>
            </w:pPr>
            <w:r w:rsidRPr="00E74D7E">
              <w:rPr>
                <w:sz w:val="20"/>
                <w:szCs w:val="20"/>
              </w:rPr>
              <w:t>GeoRisk Service</w:t>
            </w:r>
          </w:p>
        </w:tc>
        <w:tc>
          <w:tcPr>
            <w:tcW w:w="1008" w:type="dxa"/>
          </w:tcPr>
          <w:p w14:paraId="57AA8386" w14:textId="77777777" w:rsidR="00E268F9" w:rsidRPr="00E74D7E" w:rsidRDefault="00BE7F1D">
            <w:pPr>
              <w:rPr>
                <w:sz w:val="20"/>
                <w:szCs w:val="20"/>
              </w:rPr>
            </w:pPr>
            <w:r w:rsidRPr="00E74D7E">
              <w:rPr>
                <w:sz w:val="20"/>
                <w:szCs w:val="20"/>
              </w:rPr>
              <w:t>8006</w:t>
            </w:r>
          </w:p>
        </w:tc>
        <w:tc>
          <w:tcPr>
            <w:tcW w:w="5040" w:type="dxa"/>
          </w:tcPr>
          <w:p w14:paraId="43849D0C" w14:textId="77777777" w:rsidR="00E268F9" w:rsidRPr="00E74D7E" w:rsidRDefault="00BE7F1D">
            <w:pPr>
              <w:rPr>
                <w:sz w:val="20"/>
                <w:szCs w:val="20"/>
              </w:rPr>
            </w:pPr>
            <w:r w:rsidRPr="00E74D7E">
              <w:rPr>
                <w:sz w:val="20"/>
                <w:szCs w:val="20"/>
              </w:rPr>
              <w:t>Jurisdiction and geolocation risk</w:t>
            </w:r>
          </w:p>
        </w:tc>
      </w:tr>
      <w:tr w:rsidR="00E268F9" w:rsidRPr="00E74D7E" w14:paraId="03ED4DC3" w14:textId="77777777">
        <w:trPr>
          <w:jc w:val="center"/>
        </w:trPr>
        <w:tc>
          <w:tcPr>
            <w:tcW w:w="3168" w:type="dxa"/>
          </w:tcPr>
          <w:p w14:paraId="290D74F8" w14:textId="77777777" w:rsidR="00E268F9" w:rsidRPr="00E74D7E" w:rsidRDefault="00BE7F1D">
            <w:pPr>
              <w:rPr>
                <w:sz w:val="20"/>
                <w:szCs w:val="20"/>
              </w:rPr>
            </w:pPr>
            <w:r w:rsidRPr="00E74D7E">
              <w:rPr>
                <w:sz w:val="20"/>
                <w:szCs w:val="20"/>
              </w:rPr>
              <w:t>Compliance Orchestrator</w:t>
            </w:r>
          </w:p>
        </w:tc>
        <w:tc>
          <w:tcPr>
            <w:tcW w:w="1008" w:type="dxa"/>
          </w:tcPr>
          <w:p w14:paraId="044D1EDF" w14:textId="77777777" w:rsidR="00E268F9" w:rsidRPr="00E74D7E" w:rsidRDefault="00BE7F1D">
            <w:pPr>
              <w:rPr>
                <w:sz w:val="20"/>
                <w:szCs w:val="20"/>
              </w:rPr>
            </w:pPr>
            <w:r w:rsidRPr="00E74D7E">
              <w:rPr>
                <w:sz w:val="20"/>
                <w:szCs w:val="20"/>
              </w:rPr>
              <w:t>8007</w:t>
            </w:r>
          </w:p>
        </w:tc>
        <w:tc>
          <w:tcPr>
            <w:tcW w:w="5040" w:type="dxa"/>
          </w:tcPr>
          <w:p w14:paraId="1DA5FD26" w14:textId="77777777" w:rsidR="00E268F9" w:rsidRPr="00E74D7E" w:rsidRDefault="00BE7F1D">
            <w:pPr>
              <w:rPr>
                <w:sz w:val="20"/>
                <w:szCs w:val="20"/>
              </w:rPr>
            </w:pPr>
            <w:r w:rsidRPr="00E74D7E">
              <w:rPr>
                <w:sz w:val="20"/>
                <w:szCs w:val="20"/>
              </w:rPr>
              <w:t>Parallel fan-out, composite verdict</w:t>
            </w:r>
          </w:p>
        </w:tc>
      </w:tr>
      <w:tr w:rsidR="00E268F9" w:rsidRPr="00E74D7E" w14:paraId="4E2A4BE5" w14:textId="77777777">
        <w:trPr>
          <w:jc w:val="center"/>
        </w:trPr>
        <w:tc>
          <w:tcPr>
            <w:tcW w:w="3168" w:type="dxa"/>
          </w:tcPr>
          <w:p w14:paraId="41CCD2BC" w14:textId="77777777" w:rsidR="00E268F9" w:rsidRPr="00E74D7E" w:rsidRDefault="00BE7F1D">
            <w:pPr>
              <w:rPr>
                <w:sz w:val="20"/>
                <w:szCs w:val="20"/>
              </w:rPr>
            </w:pPr>
            <w:r w:rsidRPr="00E74D7E">
              <w:rPr>
                <w:sz w:val="20"/>
                <w:szCs w:val="20"/>
              </w:rPr>
              <w:t>Integrity Service</w:t>
            </w:r>
          </w:p>
        </w:tc>
        <w:tc>
          <w:tcPr>
            <w:tcW w:w="1008" w:type="dxa"/>
          </w:tcPr>
          <w:p w14:paraId="69BD462B" w14:textId="77777777" w:rsidR="00E268F9" w:rsidRPr="00E74D7E" w:rsidRDefault="00BE7F1D">
            <w:pPr>
              <w:rPr>
                <w:sz w:val="20"/>
                <w:szCs w:val="20"/>
              </w:rPr>
            </w:pPr>
            <w:r w:rsidRPr="00E74D7E">
              <w:rPr>
                <w:sz w:val="20"/>
                <w:szCs w:val="20"/>
              </w:rPr>
              <w:t>8008</w:t>
            </w:r>
          </w:p>
        </w:tc>
        <w:tc>
          <w:tcPr>
            <w:tcW w:w="5040" w:type="dxa"/>
          </w:tcPr>
          <w:p w14:paraId="1D39D197" w14:textId="77777777" w:rsidR="00E268F9" w:rsidRPr="00E74D7E" w:rsidRDefault="00BE7F1D">
            <w:pPr>
              <w:rPr>
                <w:sz w:val="20"/>
                <w:szCs w:val="20"/>
              </w:rPr>
            </w:pPr>
            <w:r w:rsidRPr="00E74D7E">
              <w:rPr>
                <w:sz w:val="20"/>
                <w:szCs w:val="20"/>
              </w:rPr>
              <w:t>Data integrity and tamper detection</w:t>
            </w:r>
          </w:p>
        </w:tc>
      </w:tr>
      <w:tr w:rsidR="00E268F9" w:rsidRPr="00E74D7E" w14:paraId="64D3771E" w14:textId="77777777">
        <w:trPr>
          <w:jc w:val="center"/>
        </w:trPr>
        <w:tc>
          <w:tcPr>
            <w:tcW w:w="3168" w:type="dxa"/>
          </w:tcPr>
          <w:p w14:paraId="47AE7951" w14:textId="77777777" w:rsidR="00E268F9" w:rsidRPr="00E74D7E" w:rsidRDefault="00BE7F1D">
            <w:pPr>
              <w:rPr>
                <w:sz w:val="20"/>
                <w:szCs w:val="20"/>
              </w:rPr>
            </w:pPr>
            <w:r w:rsidRPr="00E74D7E">
              <w:rPr>
                <w:sz w:val="20"/>
                <w:szCs w:val="20"/>
              </w:rPr>
              <w:t>Explainability Service</w:t>
            </w:r>
          </w:p>
        </w:tc>
        <w:tc>
          <w:tcPr>
            <w:tcW w:w="1008" w:type="dxa"/>
          </w:tcPr>
          <w:p w14:paraId="0B70EC33" w14:textId="77777777" w:rsidR="00E268F9" w:rsidRPr="00E74D7E" w:rsidRDefault="00BE7F1D">
            <w:pPr>
              <w:rPr>
                <w:sz w:val="20"/>
                <w:szCs w:val="20"/>
              </w:rPr>
            </w:pPr>
            <w:r w:rsidRPr="00E74D7E">
              <w:rPr>
                <w:sz w:val="20"/>
                <w:szCs w:val="20"/>
              </w:rPr>
              <w:t>8009</w:t>
            </w:r>
          </w:p>
        </w:tc>
        <w:tc>
          <w:tcPr>
            <w:tcW w:w="5040" w:type="dxa"/>
          </w:tcPr>
          <w:p w14:paraId="062216DB" w14:textId="77777777" w:rsidR="00E268F9" w:rsidRPr="00E74D7E" w:rsidRDefault="00BE7F1D">
            <w:pPr>
              <w:rPr>
                <w:sz w:val="20"/>
                <w:szCs w:val="20"/>
              </w:rPr>
            </w:pPr>
            <w:r w:rsidRPr="00E74D7E">
              <w:rPr>
                <w:sz w:val="20"/>
                <w:szCs w:val="20"/>
              </w:rPr>
              <w:t>Decision factor extraction (FCA audit trail)</w:t>
            </w:r>
          </w:p>
        </w:tc>
      </w:tr>
      <w:tr w:rsidR="00E268F9" w:rsidRPr="00E74D7E" w14:paraId="2A752460" w14:textId="77777777">
        <w:trPr>
          <w:jc w:val="center"/>
        </w:trPr>
        <w:tc>
          <w:tcPr>
            <w:tcW w:w="3168" w:type="dxa"/>
          </w:tcPr>
          <w:p w14:paraId="1F8DB682" w14:textId="77777777" w:rsidR="00E268F9" w:rsidRPr="00E74D7E" w:rsidRDefault="00BE7F1D">
            <w:pPr>
              <w:rPr>
                <w:sz w:val="20"/>
                <w:szCs w:val="20"/>
              </w:rPr>
            </w:pPr>
            <w:r w:rsidRPr="00E74D7E">
              <w:rPr>
                <w:sz w:val="20"/>
                <w:szCs w:val="20"/>
              </w:rPr>
              <w:t>ZK-NAF Service</w:t>
            </w:r>
          </w:p>
        </w:tc>
        <w:tc>
          <w:tcPr>
            <w:tcW w:w="1008" w:type="dxa"/>
          </w:tcPr>
          <w:p w14:paraId="1A9F4F54" w14:textId="77777777" w:rsidR="00E268F9" w:rsidRPr="00E74D7E" w:rsidRDefault="00BE7F1D">
            <w:pPr>
              <w:rPr>
                <w:sz w:val="20"/>
                <w:szCs w:val="20"/>
              </w:rPr>
            </w:pPr>
            <w:r w:rsidRPr="00E74D7E">
              <w:rPr>
                <w:sz w:val="20"/>
                <w:szCs w:val="20"/>
              </w:rPr>
              <w:t>8010</w:t>
            </w:r>
          </w:p>
        </w:tc>
        <w:tc>
          <w:tcPr>
            <w:tcW w:w="5040" w:type="dxa"/>
          </w:tcPr>
          <w:p w14:paraId="6CB30289" w14:textId="77777777" w:rsidR="00E268F9" w:rsidRPr="00E74D7E" w:rsidRDefault="00BE7F1D">
            <w:pPr>
              <w:rPr>
                <w:sz w:val="20"/>
                <w:szCs w:val="20"/>
              </w:rPr>
            </w:pPr>
            <w:r w:rsidRPr="00E74D7E">
              <w:rPr>
                <w:sz w:val="20"/>
                <w:szCs w:val="20"/>
              </w:rPr>
              <w:t>Zero-knowledge identity/sanctions proof</w:t>
            </w:r>
          </w:p>
        </w:tc>
      </w:tr>
    </w:tbl>
    <w:p w14:paraId="6B015236" w14:textId="77777777" w:rsidR="00E268F9" w:rsidRPr="00E74D7E" w:rsidRDefault="00E268F9">
      <w:pPr>
        <w:spacing w:after="40"/>
        <w:rPr>
          <w:sz w:val="20"/>
          <w:szCs w:val="20"/>
        </w:rPr>
      </w:pPr>
    </w:p>
    <w:p w14:paraId="2CBBCB91" w14:textId="77777777" w:rsidR="00E268F9" w:rsidRPr="00E74D7E" w:rsidRDefault="00BE7F1D">
      <w:pPr>
        <w:rPr>
          <w:sz w:val="20"/>
          <w:szCs w:val="20"/>
        </w:rPr>
      </w:pPr>
      <w:r w:rsidRPr="00E74D7E">
        <w:rPr>
          <w:i/>
          <w:color w:val="444444"/>
          <w:sz w:val="20"/>
          <w:szCs w:val="20"/>
        </w:rPr>
        <w:t>Table 2: All nine compliance microservices — each independently deployable, each sole-authored. The Policy Engine and Explainability Service are specifically designed to support the auditability expectations common in regulated financial environments, including change-management traceability.</w:t>
      </w:r>
    </w:p>
    <w:p w14:paraId="3B7D4D85" w14:textId="77777777" w:rsidR="00E268F9" w:rsidRPr="00E74D7E" w:rsidRDefault="00BE7F1D">
      <w:pPr>
        <w:spacing w:after="40"/>
        <w:rPr>
          <w:sz w:val="20"/>
          <w:szCs w:val="20"/>
        </w:rPr>
      </w:pPr>
      <w:r>
        <w:rPr>
          <w:sz w:val="20"/>
          <w:szCs w:val="20"/>
        </w:rPr>
        <w:t>The architecture is designed for independent horizontal scaling: any individual service can be upgraded, replaced, or replicated without modifying the others. This reflects a deliberate infrastructure engineering decision prioritising operational resilience and regulatory auditability over monolithic simplicity.</w:t>
      </w:r>
    </w:p>
    <w:p w14:paraId="5113CAF8" w14:textId="77777777" w:rsidR="00754B32" w:rsidRPr="00E74D7E" w:rsidRDefault="00BE7F1D">
      <w:pPr>
        <w:rPr>
          <w:sz w:val="20"/>
          <w:szCs w:val="20"/>
        </w:rPr>
      </w:pPr>
      <w:r w:rsidRPr="00E74D7E">
        <w:rPr>
          <w:b/>
          <w:sz w:val="20"/>
          <w:szCs w:val="20"/>
        </w:rPr>
        <w:t>Independent Endorsement (Letter A)</w:t>
      </w:r>
    </w:p>
    <w:p w14:paraId="7F5E7C42" w14:textId="77777777" w:rsidR="00754B32" w:rsidRPr="00E74D7E" w:rsidRDefault="00BE7F1D">
      <w:pPr>
        <w:spacing w:before="80" w:after="80"/>
        <w:rPr>
          <w:sz w:val="20"/>
          <w:szCs w:val="20"/>
        </w:rPr>
      </w:pPr>
      <w:r>
        <w:rPr>
          <w:i/>
          <w:sz w:val="20"/>
          <w:szCs w:val="20"/>
        </w:rPr>
        <w:t>Prof. A. S. O. Ogunjuyigbe (Professor of Electrical Power &amp; Energy Conversion Systems and Provost, Postgraduate College, University of Ibadan) reviewed the repository during its primary development cycle: “Olusegun has designed and implemented this system independently. I have reviewed the GitHub repository, and there is no evidence of external collaboration or outsourced development.” (Letter A — full text submitted as supporting reference letter.) Note: Prof. Ogunjuyigbe’s evaluation was performed during the initial protocol deployment phase when 7 compliance microservices were operational. The platform has since expanded to its current production architecture of 9 parallel microservices to accommodate zero-knowledge identity assertions and real-time interface hashing modules.</w:t>
      </w:r>
    </w:p>
    <w:sectPr w:rsidR="00754B32" w:rsidRPr="00E74D7E"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277164">
    <w:abstractNumId w:val="8"/>
  </w:num>
  <w:num w:numId="2" w16cid:durableId="100612596">
    <w:abstractNumId w:val="6"/>
  </w:num>
  <w:num w:numId="3" w16cid:durableId="1279406813">
    <w:abstractNumId w:val="5"/>
  </w:num>
  <w:num w:numId="4" w16cid:durableId="163012208">
    <w:abstractNumId w:val="4"/>
  </w:num>
  <w:num w:numId="5" w16cid:durableId="1404449046">
    <w:abstractNumId w:val="7"/>
  </w:num>
  <w:num w:numId="6" w16cid:durableId="1421561218">
    <w:abstractNumId w:val="3"/>
  </w:num>
  <w:num w:numId="7" w16cid:durableId="1799644123">
    <w:abstractNumId w:val="2"/>
  </w:num>
  <w:num w:numId="8" w16cid:durableId="171920446">
    <w:abstractNumId w:val="1"/>
  </w:num>
  <w:num w:numId="9" w16cid:durableId="915169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59C9"/>
    <w:rsid w:val="0029639D"/>
    <w:rsid w:val="00326F90"/>
    <w:rsid w:val="005129D2"/>
    <w:rsid w:val="00754B32"/>
    <w:rsid w:val="009659A2"/>
    <w:rsid w:val="00AA1D8D"/>
    <w:rsid w:val="00B47730"/>
    <w:rsid w:val="00BE7F1D"/>
    <w:rsid w:val="00C83E95"/>
    <w:rsid w:val="00CB0664"/>
    <w:rsid w:val="00D143D7"/>
    <w:rsid w:val="00E268F9"/>
    <w:rsid w:val="00E74D7E"/>
    <w:rsid w:val="00EB55F4"/>
    <w:rsid w:val="00F754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0363C7"/>
  <w14:defaultImageDpi w14:val="300"/>
  <w15:docId w15:val="{519EF46F-0B04-4768-A04D-2346643E4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pPr>
    <w:rPr>
      <w:rFonts w:ascii="Calibri" w:hAnsi="Calibri"/>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1271</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Israel Odeyemi</cp:lastModifiedBy>
  <cp:revision>2</cp:revision>
  <dcterms:created xsi:type="dcterms:W3CDTF">2026-05-19T18:20:00Z</dcterms:created>
  <dcterms:modified xsi:type="dcterms:W3CDTF">2026-05-19T18:20:00Z</dcterms:modified>
  <cp:category/>
</cp:coreProperties>
</file>