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7878" w14:textId="77777777" w:rsidR="00704F2E" w:rsidRDefault="008B4314">
      <w:pPr>
        <w:spacing w:before="120" w:after="240"/>
      </w:pPr>
      <w:r>
        <w:rPr>
          <w:b/>
          <w:color w:val="1A2A4A"/>
          <w:sz w:val="21"/>
        </w:rPr>
        <w:t>Tech Nation Visa — Global Talent (Exceptional Promise)</w:t>
      </w:r>
    </w:p>
    <w:p w14:paraId="223C9A51" w14:textId="77777777" w:rsidR="00704F2E" w:rsidRDefault="008B4314">
      <w:pPr>
        <w:spacing w:before="120" w:after="240"/>
      </w:pPr>
      <w:r>
        <w:rPr>
          <w:b/>
        </w:rPr>
        <w:t xml:space="preserve">Criteria: </w:t>
      </w:r>
      <w:r>
        <w:t>Optional Criteria 4 — Academic Contributions through Research</w:t>
      </w:r>
    </w:p>
    <w:p w14:paraId="09F8EB13" w14:textId="77777777" w:rsidR="00704F2E" w:rsidRDefault="008B4314">
      <w:pPr>
        <w:spacing w:before="120" w:after="240"/>
      </w:pPr>
      <w:r>
        <w:rPr>
          <w:b/>
        </w:rPr>
        <w:t xml:space="preserve">Applicant: </w:t>
      </w:r>
      <w:r>
        <w:t>Odeyemi Olusegun Israel</w:t>
      </w:r>
    </w:p>
    <w:p w14:paraId="2D5EDC9E" w14:textId="77777777" w:rsidR="00704F2E" w:rsidRDefault="008B4314">
      <w:pPr>
        <w:spacing w:before="120" w:after="240"/>
        <w:jc w:val="center"/>
      </w:pPr>
      <w:r>
        <w:rPr>
          <w:b/>
          <w:color w:val="1A2A4A"/>
          <w:sz w:val="26"/>
        </w:rPr>
        <w:t>OC4-2: Publications &amp; Research Dissemination</w:t>
      </w:r>
    </w:p>
    <w:p w14:paraId="2B427364" w14:textId="77777777" w:rsidR="00704F2E" w:rsidRDefault="008B4314">
      <w:pPr>
        <w:spacing w:before="120" w:after="240"/>
      </w:pPr>
      <w:r>
        <w:rPr>
          <w:b/>
          <w:color w:val="1A2A4A"/>
          <w:sz w:val="19"/>
        </w:rPr>
        <w:t>1. Executive Summary</w:t>
      </w:r>
    </w:p>
    <w:p w14:paraId="2F517C93" w14:textId="794E4162" w:rsidR="00704F2E" w:rsidRDefault="00521FFF">
      <w:pPr>
        <w:spacing w:before="120" w:after="240"/>
      </w:pPr>
      <w:r>
        <w:t xml:space="preserve">I wrote and published four research </w:t>
      </w:r>
      <w:proofErr w:type="gramStart"/>
      <w:r>
        <w:t>paper</w:t>
      </w:r>
      <w:proofErr w:type="gramEnd"/>
      <w:r>
        <w:t xml:space="preserve"> </w:t>
      </w:r>
      <w:proofErr w:type="gramStart"/>
      <w:r w:rsidR="008B4314">
        <w:t xml:space="preserve">independently </w:t>
      </w:r>
      <w:r>
        <w:t>,</w:t>
      </w:r>
      <w:proofErr w:type="gramEnd"/>
      <w:r w:rsidR="008B4314">
        <w:t xml:space="preserve"> without university affiliation, co-authors, research funding, or any promotion budget. They are hosted on TechRxiv (IEEE) and Zenodo (CERN), both with permanent DOIs and open public access. The papers have accumulated 365 views and 210 downloads organically, with no advertising or outreach. This section documents the publication record as evidence of independent research dissemination.</w:t>
      </w:r>
    </w:p>
    <w:p w14:paraId="6424E48C" w14:textId="77777777" w:rsidR="00704F2E" w:rsidRDefault="008B4314">
      <w:pPr>
        <w:spacing w:before="120" w:after="240"/>
      </w:pPr>
      <w:r>
        <w:rPr>
          <w:b/>
          <w:color w:val="1A2A4A"/>
          <w:sz w:val="19"/>
        </w:rPr>
        <w:t>2. The AMTTP Infrastructure Paper (TechRxiv)</w:t>
      </w:r>
    </w:p>
    <w:p w14:paraId="7660C432" w14:textId="77777777" w:rsidR="00704F2E" w:rsidRDefault="008B4314">
      <w:pPr>
        <w:spacing w:before="120" w:after="240"/>
      </w:pPr>
      <w:r>
        <w:t>Introduces the AMTTP platform — a four-layer compliance enforcement framework for institutional DeFi. Published on TechRxiv with a permanent DOI. This is the foundational infrastructure paper documenting the platform described elsewhere in this application.</w:t>
      </w:r>
    </w:p>
    <w:tbl>
      <w:tblPr>
        <w:tblStyle w:val="TableGrid"/>
        <w:tblW w:w="0" w:type="auto"/>
        <w:jc w:val="center"/>
        <w:tblLook w:val="04A0" w:firstRow="1" w:lastRow="0" w:firstColumn="1" w:lastColumn="0" w:noHBand="0" w:noVBand="1"/>
      </w:tblPr>
      <w:tblGrid>
        <w:gridCol w:w="2160"/>
        <w:gridCol w:w="7200"/>
      </w:tblGrid>
      <w:tr w:rsidR="00704F2E" w14:paraId="53CF3975" w14:textId="77777777">
        <w:trPr>
          <w:jc w:val="center"/>
        </w:trPr>
        <w:tc>
          <w:tcPr>
            <w:tcW w:w="2160" w:type="dxa"/>
            <w:shd w:val="clear" w:color="auto" w:fill="D9E1F2"/>
          </w:tcPr>
          <w:p w14:paraId="79539D3C" w14:textId="77777777" w:rsidR="00704F2E" w:rsidRDefault="008B4314">
            <w:pPr>
              <w:spacing w:before="60" w:after="60"/>
            </w:pPr>
            <w:r>
              <w:rPr>
                <w:b/>
                <w:sz w:val="15"/>
              </w:rPr>
              <w:t>Field</w:t>
            </w:r>
          </w:p>
        </w:tc>
        <w:tc>
          <w:tcPr>
            <w:tcW w:w="7200" w:type="dxa"/>
            <w:shd w:val="clear" w:color="auto" w:fill="D9E1F2"/>
          </w:tcPr>
          <w:p w14:paraId="17C3F65E" w14:textId="77777777" w:rsidR="00704F2E" w:rsidRDefault="008B4314">
            <w:pPr>
              <w:spacing w:before="60" w:after="60"/>
            </w:pPr>
            <w:r>
              <w:rPr>
                <w:b/>
                <w:sz w:val="15"/>
              </w:rPr>
              <w:t>Detail</w:t>
            </w:r>
          </w:p>
        </w:tc>
      </w:tr>
      <w:tr w:rsidR="00704F2E" w14:paraId="0A0091FD" w14:textId="77777777">
        <w:trPr>
          <w:jc w:val="center"/>
        </w:trPr>
        <w:tc>
          <w:tcPr>
            <w:tcW w:w="2160" w:type="dxa"/>
          </w:tcPr>
          <w:p w14:paraId="4FDC1804" w14:textId="77777777" w:rsidR="00704F2E" w:rsidRDefault="008B4314">
            <w:pPr>
              <w:spacing w:before="60" w:after="60"/>
            </w:pPr>
            <w:r>
              <w:rPr>
                <w:sz w:val="15"/>
              </w:rPr>
              <w:t>Published</w:t>
            </w:r>
          </w:p>
        </w:tc>
        <w:tc>
          <w:tcPr>
            <w:tcW w:w="7200" w:type="dxa"/>
          </w:tcPr>
          <w:p w14:paraId="49923B7A" w14:textId="77777777" w:rsidR="00704F2E" w:rsidRDefault="008B4314">
            <w:pPr>
              <w:spacing w:before="60" w:after="60"/>
            </w:pPr>
            <w:r>
              <w:rPr>
                <w:sz w:val="15"/>
              </w:rPr>
              <w:t>27 February 2026</w:t>
            </w:r>
          </w:p>
        </w:tc>
      </w:tr>
      <w:tr w:rsidR="00704F2E" w14:paraId="2EAA8BA2" w14:textId="77777777">
        <w:trPr>
          <w:jc w:val="center"/>
        </w:trPr>
        <w:tc>
          <w:tcPr>
            <w:tcW w:w="2160" w:type="dxa"/>
          </w:tcPr>
          <w:p w14:paraId="52ED4225" w14:textId="77777777" w:rsidR="00704F2E" w:rsidRDefault="008B4314">
            <w:pPr>
              <w:spacing w:before="60" w:after="60"/>
            </w:pPr>
            <w:r>
              <w:rPr>
                <w:sz w:val="15"/>
              </w:rPr>
              <w:t>Metrics</w:t>
            </w:r>
          </w:p>
        </w:tc>
        <w:tc>
          <w:tcPr>
            <w:tcW w:w="7200" w:type="dxa"/>
          </w:tcPr>
          <w:p w14:paraId="730F57DC" w14:textId="77777777" w:rsidR="00704F2E" w:rsidRDefault="008B4314">
            <w:pPr>
              <w:spacing w:before="60" w:after="60"/>
            </w:pPr>
            <w:r>
              <w:rPr>
                <w:sz w:val="15"/>
              </w:rPr>
              <w:t>230 Views, 153 Downloads (as of 5 May 2026)</w:t>
            </w:r>
          </w:p>
        </w:tc>
      </w:tr>
      <w:tr w:rsidR="00704F2E" w14:paraId="6A4A30D6" w14:textId="77777777">
        <w:trPr>
          <w:jc w:val="center"/>
        </w:trPr>
        <w:tc>
          <w:tcPr>
            <w:tcW w:w="2160" w:type="dxa"/>
          </w:tcPr>
          <w:p w14:paraId="5FBB914E" w14:textId="77777777" w:rsidR="00704F2E" w:rsidRDefault="008B4314">
            <w:pPr>
              <w:spacing w:before="60" w:after="60"/>
            </w:pPr>
            <w:r>
              <w:rPr>
                <w:sz w:val="15"/>
              </w:rPr>
              <w:t>Platform</w:t>
            </w:r>
          </w:p>
        </w:tc>
        <w:tc>
          <w:tcPr>
            <w:tcW w:w="7200" w:type="dxa"/>
          </w:tcPr>
          <w:p w14:paraId="39C233CE" w14:textId="77777777" w:rsidR="00704F2E" w:rsidRDefault="008B4314">
            <w:pPr>
              <w:spacing w:before="60" w:after="60"/>
            </w:pPr>
            <w:r>
              <w:rPr>
                <w:sz w:val="15"/>
              </w:rPr>
              <w:t>TechRxiv — IEEE engineering preprint server</w:t>
            </w:r>
          </w:p>
        </w:tc>
      </w:tr>
      <w:tr w:rsidR="00704F2E" w14:paraId="75F099D4" w14:textId="77777777">
        <w:trPr>
          <w:jc w:val="center"/>
        </w:trPr>
        <w:tc>
          <w:tcPr>
            <w:tcW w:w="2160" w:type="dxa"/>
          </w:tcPr>
          <w:p w14:paraId="3B407B20" w14:textId="77777777" w:rsidR="00704F2E" w:rsidRDefault="008B4314">
            <w:pPr>
              <w:spacing w:before="60" w:after="60"/>
            </w:pPr>
            <w:r>
              <w:rPr>
                <w:sz w:val="15"/>
              </w:rPr>
              <w:t>DOI</w:t>
            </w:r>
          </w:p>
        </w:tc>
        <w:tc>
          <w:tcPr>
            <w:tcW w:w="7200" w:type="dxa"/>
          </w:tcPr>
          <w:p w14:paraId="33C05E5B" w14:textId="77777777" w:rsidR="00704F2E" w:rsidRDefault="008B4314">
            <w:pPr>
              <w:spacing w:before="60" w:after="60"/>
            </w:pPr>
            <w:r>
              <w:rPr>
                <w:sz w:val="15"/>
              </w:rPr>
              <w:t>10.36227/techrxiv.177220113.33816607/v1</w:t>
            </w:r>
          </w:p>
        </w:tc>
      </w:tr>
    </w:tbl>
    <w:p w14:paraId="2A4A52E0" w14:textId="77777777" w:rsidR="00704F2E" w:rsidRDefault="008B4314">
      <w:pPr>
        <w:spacing w:before="120" w:after="240"/>
        <w:jc w:val="center"/>
      </w:pPr>
      <w:r>
        <w:rPr>
          <w:noProof/>
        </w:rPr>
        <w:drawing>
          <wp:inline distT="0" distB="0" distL="0" distR="0" wp14:anchorId="0F29E579" wp14:editId="5555169E">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rxiv_amttp.png"/>
                    <pic:cNvPicPr/>
                  </pic:nvPicPr>
                  <pic:blipFill>
                    <a:blip r:embed="rId6"/>
                    <a:stretch>
                      <a:fillRect/>
                    </a:stretch>
                  </pic:blipFill>
                  <pic:spPr>
                    <a:xfrm>
                      <a:off x="0" y="0"/>
                      <a:ext cx="4892040" cy="2751772"/>
                    </a:xfrm>
                    <a:prstGeom prst="rect">
                      <a:avLst/>
                    </a:prstGeom>
                  </pic:spPr>
                </pic:pic>
              </a:graphicData>
            </a:graphic>
          </wp:inline>
        </w:drawing>
      </w:r>
    </w:p>
    <w:p w14:paraId="005A34C5" w14:textId="77777777" w:rsidR="00704F2E" w:rsidRDefault="008B4314">
      <w:pPr>
        <w:keepNext/>
        <w:spacing w:before="120" w:after="120"/>
      </w:pPr>
      <w:r>
        <w:rPr>
          <w:i/>
          <w:color w:val="505050"/>
          <w:sz w:val="18"/>
        </w:rPr>
        <w:t>Figure 1: Platform analytics for the AMTTP paper on TechRxiv — 230 views and 153 downloads as of 5 May 2026. No institutional or co-author network was involved; all readership is organic.</w:t>
      </w:r>
    </w:p>
    <w:p w14:paraId="1FA7116E" w14:textId="77777777" w:rsidR="00704F2E" w:rsidRDefault="008B4314">
      <w:pPr>
        <w:spacing w:before="120" w:after="240"/>
      </w:pPr>
      <w:r>
        <w:rPr>
          <w:b/>
          <w:color w:val="1A2A4A"/>
          <w:sz w:val="19"/>
        </w:rPr>
        <w:t>3. Blind-Spot Decomposition Theory — BSDT (Zenodo)</w:t>
      </w:r>
    </w:p>
    <w:p w14:paraId="675474B6" w14:textId="77777777" w:rsidR="00704F2E" w:rsidRDefault="008B4314">
      <w:pPr>
        <w:spacing w:after="160"/>
      </w:pPr>
      <w:r>
        <w:t>Introduces Blind-Spot Decomposition Theory — a mathematical framework that decomposes fraud-detection failures into four independent channels (camouflage, information gap, unseen pattern, outdated baseline). Detailed in OC4-1. Published on Zenodo with a permanent DOI.</w:t>
      </w:r>
    </w:p>
    <w:tbl>
      <w:tblPr>
        <w:tblStyle w:val="TableGrid"/>
        <w:tblW w:w="0" w:type="auto"/>
        <w:jc w:val="center"/>
        <w:tblLook w:val="04A0" w:firstRow="1" w:lastRow="0" w:firstColumn="1" w:lastColumn="0" w:noHBand="0" w:noVBand="1"/>
      </w:tblPr>
      <w:tblGrid>
        <w:gridCol w:w="2160"/>
        <w:gridCol w:w="7200"/>
      </w:tblGrid>
      <w:tr w:rsidR="00704F2E" w14:paraId="14BF767F" w14:textId="77777777">
        <w:trPr>
          <w:jc w:val="center"/>
        </w:trPr>
        <w:tc>
          <w:tcPr>
            <w:tcW w:w="2160" w:type="dxa"/>
            <w:shd w:val="clear" w:color="auto" w:fill="D9E1F2"/>
          </w:tcPr>
          <w:p w14:paraId="2E0E6AD8" w14:textId="77777777" w:rsidR="00704F2E" w:rsidRDefault="008B4314">
            <w:pPr>
              <w:spacing w:before="60" w:after="60"/>
            </w:pPr>
            <w:r>
              <w:rPr>
                <w:b/>
                <w:sz w:val="15"/>
              </w:rPr>
              <w:t>Field</w:t>
            </w:r>
          </w:p>
        </w:tc>
        <w:tc>
          <w:tcPr>
            <w:tcW w:w="7200" w:type="dxa"/>
            <w:shd w:val="clear" w:color="auto" w:fill="D9E1F2"/>
          </w:tcPr>
          <w:p w14:paraId="7A25BC8D" w14:textId="77777777" w:rsidR="00704F2E" w:rsidRDefault="008B4314">
            <w:pPr>
              <w:spacing w:before="60" w:after="60"/>
            </w:pPr>
            <w:r>
              <w:rPr>
                <w:b/>
                <w:sz w:val="15"/>
              </w:rPr>
              <w:t>Detail</w:t>
            </w:r>
          </w:p>
        </w:tc>
      </w:tr>
      <w:tr w:rsidR="00704F2E" w14:paraId="27506F44" w14:textId="77777777">
        <w:trPr>
          <w:jc w:val="center"/>
        </w:trPr>
        <w:tc>
          <w:tcPr>
            <w:tcW w:w="2160" w:type="dxa"/>
          </w:tcPr>
          <w:p w14:paraId="103190A0" w14:textId="77777777" w:rsidR="00704F2E" w:rsidRDefault="008B4314">
            <w:pPr>
              <w:spacing w:before="60" w:after="60"/>
            </w:pPr>
            <w:r>
              <w:rPr>
                <w:sz w:val="15"/>
              </w:rPr>
              <w:t>Published</w:t>
            </w:r>
          </w:p>
        </w:tc>
        <w:tc>
          <w:tcPr>
            <w:tcW w:w="7200" w:type="dxa"/>
          </w:tcPr>
          <w:p w14:paraId="5885FD3A" w14:textId="77777777" w:rsidR="00704F2E" w:rsidRDefault="008B4314">
            <w:pPr>
              <w:spacing w:before="60" w:after="60"/>
            </w:pPr>
            <w:r>
              <w:rPr>
                <w:sz w:val="15"/>
              </w:rPr>
              <w:t>5 March 2026</w:t>
            </w:r>
          </w:p>
        </w:tc>
      </w:tr>
      <w:tr w:rsidR="00704F2E" w14:paraId="1DDD1A95" w14:textId="77777777">
        <w:trPr>
          <w:jc w:val="center"/>
        </w:trPr>
        <w:tc>
          <w:tcPr>
            <w:tcW w:w="2160" w:type="dxa"/>
          </w:tcPr>
          <w:p w14:paraId="53C94B55" w14:textId="77777777" w:rsidR="00704F2E" w:rsidRDefault="008B4314">
            <w:pPr>
              <w:spacing w:before="60" w:after="60"/>
            </w:pPr>
            <w:r>
              <w:rPr>
                <w:sz w:val="15"/>
              </w:rPr>
              <w:t>Metrics</w:t>
            </w:r>
          </w:p>
        </w:tc>
        <w:tc>
          <w:tcPr>
            <w:tcW w:w="7200" w:type="dxa"/>
          </w:tcPr>
          <w:p w14:paraId="6C5BEE97" w14:textId="77777777" w:rsidR="00704F2E" w:rsidRDefault="008B4314">
            <w:pPr>
              <w:spacing w:before="60" w:after="60"/>
            </w:pPr>
            <w:r>
              <w:rPr>
                <w:sz w:val="15"/>
              </w:rPr>
              <w:t>135 Views, 57 Downloads (as of 5 May 2026)</w:t>
            </w:r>
          </w:p>
        </w:tc>
      </w:tr>
      <w:tr w:rsidR="00704F2E" w14:paraId="526EF434" w14:textId="77777777">
        <w:trPr>
          <w:jc w:val="center"/>
        </w:trPr>
        <w:tc>
          <w:tcPr>
            <w:tcW w:w="2160" w:type="dxa"/>
          </w:tcPr>
          <w:p w14:paraId="46518631" w14:textId="77777777" w:rsidR="00704F2E" w:rsidRDefault="008B4314">
            <w:pPr>
              <w:spacing w:before="60" w:after="60"/>
            </w:pPr>
            <w:r>
              <w:rPr>
                <w:sz w:val="15"/>
              </w:rPr>
              <w:t>Platform</w:t>
            </w:r>
          </w:p>
        </w:tc>
        <w:tc>
          <w:tcPr>
            <w:tcW w:w="7200" w:type="dxa"/>
          </w:tcPr>
          <w:p w14:paraId="4095EB41" w14:textId="77777777" w:rsidR="00704F2E" w:rsidRDefault="008B4314">
            <w:pPr>
              <w:spacing w:before="60" w:after="60"/>
            </w:pPr>
            <w:r>
              <w:rPr>
                <w:sz w:val="15"/>
              </w:rPr>
              <w:t>Zenodo — CERN-hosted open-access archive</w:t>
            </w:r>
          </w:p>
        </w:tc>
      </w:tr>
      <w:tr w:rsidR="00704F2E" w14:paraId="518D45C8" w14:textId="77777777">
        <w:trPr>
          <w:jc w:val="center"/>
        </w:trPr>
        <w:tc>
          <w:tcPr>
            <w:tcW w:w="2160" w:type="dxa"/>
          </w:tcPr>
          <w:p w14:paraId="059B55B2" w14:textId="77777777" w:rsidR="00704F2E" w:rsidRDefault="008B4314">
            <w:pPr>
              <w:spacing w:before="60" w:after="60"/>
            </w:pPr>
            <w:r>
              <w:rPr>
                <w:sz w:val="15"/>
              </w:rPr>
              <w:t>DOI</w:t>
            </w:r>
          </w:p>
        </w:tc>
        <w:tc>
          <w:tcPr>
            <w:tcW w:w="7200" w:type="dxa"/>
          </w:tcPr>
          <w:p w14:paraId="3333493C" w14:textId="77777777" w:rsidR="00704F2E" w:rsidRDefault="008B4314">
            <w:pPr>
              <w:spacing w:before="60" w:after="60"/>
            </w:pPr>
            <w:r>
              <w:rPr>
                <w:sz w:val="15"/>
              </w:rPr>
              <w:t>10.5281/zenodo.18870590</w:t>
            </w:r>
          </w:p>
        </w:tc>
      </w:tr>
    </w:tbl>
    <w:p w14:paraId="33BAF255" w14:textId="77777777" w:rsidR="00704F2E" w:rsidRDefault="008B4314">
      <w:pPr>
        <w:spacing w:before="120" w:after="240"/>
        <w:jc w:val="center"/>
      </w:pPr>
      <w:r>
        <w:rPr>
          <w:noProof/>
        </w:rPr>
        <w:lastRenderedPageBreak/>
        <w:drawing>
          <wp:inline distT="0" distB="0" distL="0" distR="0" wp14:anchorId="3C518610" wp14:editId="1E90E569">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do_bsdt.png"/>
                    <pic:cNvPicPr/>
                  </pic:nvPicPr>
                  <pic:blipFill>
                    <a:blip r:embed="rId7"/>
                    <a:stretch>
                      <a:fillRect/>
                    </a:stretch>
                  </pic:blipFill>
                  <pic:spPr>
                    <a:xfrm>
                      <a:off x="0" y="0"/>
                      <a:ext cx="4892040" cy="2751772"/>
                    </a:xfrm>
                    <a:prstGeom prst="rect">
                      <a:avLst/>
                    </a:prstGeom>
                  </pic:spPr>
                </pic:pic>
              </a:graphicData>
            </a:graphic>
          </wp:inline>
        </w:drawing>
      </w:r>
    </w:p>
    <w:p w14:paraId="25EF7734" w14:textId="77777777" w:rsidR="00704F2E" w:rsidRDefault="008B4314">
      <w:pPr>
        <w:keepNext/>
        <w:spacing w:before="120" w:after="120"/>
      </w:pPr>
      <w:r>
        <w:rPr>
          <w:i/>
          <w:color w:val="444444"/>
          <w:sz w:val="14"/>
        </w:rPr>
        <w:t>Figure 2: Platform analytics for the BSDT paper on Zenodo — 135 views and 57 downloads as of 5 May 2026.</w:t>
      </w:r>
    </w:p>
    <w:p w14:paraId="6EBCD4F0" w14:textId="77777777" w:rsidR="00704F2E" w:rsidRDefault="008B4314">
      <w:pPr>
        <w:spacing w:before="120" w:after="240"/>
      </w:pPr>
      <w:r>
        <w:rPr>
          <w:b/>
          <w:color w:val="1A2A4A"/>
          <w:sz w:val="19"/>
        </w:rPr>
        <w:t>4. Blind-Spot Decomposition and the Geometry of System Collapse (Zenodo)</w:t>
      </w:r>
    </w:p>
    <w:p w14:paraId="5D41ED3A" w14:textId="77777777" w:rsidR="00704F2E" w:rsidRDefault="008B4314">
      <w:pPr>
        <w:spacing w:before="120" w:after="240"/>
      </w:pPr>
      <w:r>
        <w:t>Extends the BSDT decomposition framework to cross-domain instability detection, applying the same mathematical channels to publicly available power-grid and cryptocurrency crisis datasets. Presented as an exploratory extension of fraud-detection principles to structurally analogous time-series problems. Published on Zenodo with a permanent DOI.</w:t>
      </w:r>
    </w:p>
    <w:tbl>
      <w:tblPr>
        <w:tblStyle w:val="TableGrid"/>
        <w:tblW w:w="0" w:type="auto"/>
        <w:jc w:val="center"/>
        <w:tblLook w:val="04A0" w:firstRow="1" w:lastRow="0" w:firstColumn="1" w:lastColumn="0" w:noHBand="0" w:noVBand="1"/>
      </w:tblPr>
      <w:tblGrid>
        <w:gridCol w:w="2160"/>
        <w:gridCol w:w="7200"/>
      </w:tblGrid>
      <w:tr w:rsidR="00704F2E" w14:paraId="057EE204" w14:textId="77777777">
        <w:trPr>
          <w:jc w:val="center"/>
        </w:trPr>
        <w:tc>
          <w:tcPr>
            <w:tcW w:w="2160" w:type="dxa"/>
            <w:shd w:val="clear" w:color="auto" w:fill="D9E1F2"/>
          </w:tcPr>
          <w:p w14:paraId="4536B598" w14:textId="77777777" w:rsidR="00704F2E" w:rsidRDefault="008B4314">
            <w:pPr>
              <w:spacing w:before="60" w:after="60"/>
            </w:pPr>
            <w:r>
              <w:rPr>
                <w:b/>
                <w:sz w:val="15"/>
              </w:rPr>
              <w:t>Field</w:t>
            </w:r>
          </w:p>
        </w:tc>
        <w:tc>
          <w:tcPr>
            <w:tcW w:w="7200" w:type="dxa"/>
            <w:shd w:val="clear" w:color="auto" w:fill="D9E1F2"/>
          </w:tcPr>
          <w:p w14:paraId="5EE154CB" w14:textId="77777777" w:rsidR="00704F2E" w:rsidRDefault="008B4314">
            <w:pPr>
              <w:spacing w:before="60" w:after="60"/>
            </w:pPr>
            <w:r>
              <w:rPr>
                <w:b/>
                <w:sz w:val="15"/>
              </w:rPr>
              <w:t>Detail</w:t>
            </w:r>
          </w:p>
        </w:tc>
      </w:tr>
      <w:tr w:rsidR="00704F2E" w14:paraId="60F47DB4" w14:textId="77777777">
        <w:trPr>
          <w:jc w:val="center"/>
        </w:trPr>
        <w:tc>
          <w:tcPr>
            <w:tcW w:w="2160" w:type="dxa"/>
          </w:tcPr>
          <w:p w14:paraId="6FB16700" w14:textId="77777777" w:rsidR="00704F2E" w:rsidRDefault="008B4314">
            <w:pPr>
              <w:spacing w:before="60" w:after="60"/>
            </w:pPr>
            <w:r>
              <w:rPr>
                <w:sz w:val="15"/>
              </w:rPr>
              <w:t>Published</w:t>
            </w:r>
          </w:p>
        </w:tc>
        <w:tc>
          <w:tcPr>
            <w:tcW w:w="7200" w:type="dxa"/>
          </w:tcPr>
          <w:p w14:paraId="03C96A02" w14:textId="77777777" w:rsidR="00704F2E" w:rsidRDefault="008B4314">
            <w:pPr>
              <w:spacing w:before="60" w:after="60"/>
            </w:pPr>
            <w:r>
              <w:rPr>
                <w:sz w:val="15"/>
              </w:rPr>
              <w:t>16 March 2026</w:t>
            </w:r>
          </w:p>
        </w:tc>
      </w:tr>
      <w:tr w:rsidR="00704F2E" w14:paraId="3BA59A73" w14:textId="77777777">
        <w:trPr>
          <w:jc w:val="center"/>
        </w:trPr>
        <w:tc>
          <w:tcPr>
            <w:tcW w:w="2160" w:type="dxa"/>
          </w:tcPr>
          <w:p w14:paraId="1E875E53" w14:textId="77777777" w:rsidR="00704F2E" w:rsidRDefault="008B4314">
            <w:pPr>
              <w:spacing w:before="60" w:after="60"/>
            </w:pPr>
            <w:r>
              <w:rPr>
                <w:sz w:val="15"/>
              </w:rPr>
              <w:t>Platform</w:t>
            </w:r>
          </w:p>
        </w:tc>
        <w:tc>
          <w:tcPr>
            <w:tcW w:w="7200" w:type="dxa"/>
          </w:tcPr>
          <w:p w14:paraId="4A3A5A43" w14:textId="77777777" w:rsidR="00704F2E" w:rsidRDefault="008B4314">
            <w:pPr>
              <w:spacing w:before="60" w:after="60"/>
            </w:pPr>
            <w:r>
              <w:rPr>
                <w:sz w:val="15"/>
              </w:rPr>
              <w:t>Zenodo — CERN-hosted open-access archive</w:t>
            </w:r>
          </w:p>
        </w:tc>
      </w:tr>
      <w:tr w:rsidR="00704F2E" w14:paraId="09A4F60F" w14:textId="77777777">
        <w:trPr>
          <w:jc w:val="center"/>
        </w:trPr>
        <w:tc>
          <w:tcPr>
            <w:tcW w:w="2160" w:type="dxa"/>
          </w:tcPr>
          <w:p w14:paraId="5B230D03" w14:textId="77777777" w:rsidR="00704F2E" w:rsidRDefault="008B4314">
            <w:pPr>
              <w:spacing w:before="60" w:after="60"/>
            </w:pPr>
            <w:r>
              <w:rPr>
                <w:sz w:val="15"/>
              </w:rPr>
              <w:t>DOI</w:t>
            </w:r>
          </w:p>
        </w:tc>
        <w:tc>
          <w:tcPr>
            <w:tcW w:w="7200" w:type="dxa"/>
          </w:tcPr>
          <w:p w14:paraId="6AB700C2" w14:textId="77777777" w:rsidR="00704F2E" w:rsidRDefault="008B4314">
            <w:pPr>
              <w:spacing w:before="60" w:after="60"/>
            </w:pPr>
            <w:r>
              <w:rPr>
                <w:sz w:val="15"/>
              </w:rPr>
              <w:t>10.5281/zenodo.19038783</w:t>
            </w:r>
          </w:p>
        </w:tc>
      </w:tr>
    </w:tbl>
    <w:p w14:paraId="1880604A" w14:textId="77777777" w:rsidR="00704F2E" w:rsidRDefault="008B4314">
      <w:pPr>
        <w:spacing w:before="120" w:after="240"/>
        <w:jc w:val="center"/>
      </w:pPr>
      <w:r>
        <w:rPr>
          <w:noProof/>
        </w:rPr>
        <w:drawing>
          <wp:inline distT="0" distB="0" distL="0" distR="0" wp14:anchorId="37BDBF91" wp14:editId="056AF007">
            <wp:extent cx="4892040" cy="2751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do_geometry.png"/>
                    <pic:cNvPicPr/>
                  </pic:nvPicPr>
                  <pic:blipFill>
                    <a:blip r:embed="rId8"/>
                    <a:stretch>
                      <a:fillRect/>
                    </a:stretch>
                  </pic:blipFill>
                  <pic:spPr>
                    <a:xfrm>
                      <a:off x="0" y="0"/>
                      <a:ext cx="4892040" cy="2751772"/>
                    </a:xfrm>
                    <a:prstGeom prst="rect">
                      <a:avLst/>
                    </a:prstGeom>
                  </pic:spPr>
                </pic:pic>
              </a:graphicData>
            </a:graphic>
          </wp:inline>
        </w:drawing>
      </w:r>
    </w:p>
    <w:p w14:paraId="0FFAAB43" w14:textId="77777777" w:rsidR="00704F2E" w:rsidRDefault="008B4314">
      <w:pPr>
        <w:keepNext/>
        <w:spacing w:before="120" w:after="120"/>
      </w:pPr>
      <w:r>
        <w:rPr>
          <w:i/>
          <w:color w:val="505050"/>
          <w:sz w:val="18"/>
        </w:rPr>
        <w:t>Figure 3: Zenodo record for ‘Geometry of System Collapse’. DOI: 10.5281/zenodo.19038783.</w:t>
      </w:r>
    </w:p>
    <w:p w14:paraId="1E88DB8B" w14:textId="77777777" w:rsidR="00704F2E" w:rsidRDefault="008B4314">
      <w:pPr>
        <w:spacing w:before="120" w:after="240"/>
      </w:pPr>
      <w:r>
        <w:rPr>
          <w:b/>
          <w:color w:val="1A2A4A"/>
          <w:sz w:val="19"/>
        </w:rPr>
        <w:t>5. Universal Deviation Principle (Zenodo)</w:t>
      </w:r>
    </w:p>
    <w:p w14:paraId="035B31CD" w14:textId="77777777" w:rsidR="00704F2E" w:rsidRDefault="008B4314">
      <w:pPr>
        <w:spacing w:before="120" w:after="240"/>
      </w:pPr>
      <w:r>
        <w:t>Introduces a broader detection framework that monitors multiple types of unusual behaviour simultaneously, with mathematical guarantees on detection sensitivity. Extends the deviation-based approach from BSDT to more general classification settings. Published on Zenodo with a permanent DOI.</w:t>
      </w:r>
    </w:p>
    <w:tbl>
      <w:tblPr>
        <w:tblStyle w:val="TableGrid"/>
        <w:tblW w:w="0" w:type="auto"/>
        <w:jc w:val="center"/>
        <w:tblLook w:val="04A0" w:firstRow="1" w:lastRow="0" w:firstColumn="1" w:lastColumn="0" w:noHBand="0" w:noVBand="1"/>
      </w:tblPr>
      <w:tblGrid>
        <w:gridCol w:w="2160"/>
        <w:gridCol w:w="7200"/>
      </w:tblGrid>
      <w:tr w:rsidR="00704F2E" w14:paraId="48DA5F0E" w14:textId="77777777">
        <w:trPr>
          <w:jc w:val="center"/>
        </w:trPr>
        <w:tc>
          <w:tcPr>
            <w:tcW w:w="2160" w:type="dxa"/>
            <w:shd w:val="clear" w:color="auto" w:fill="D9E1F2"/>
          </w:tcPr>
          <w:p w14:paraId="5C9231D4" w14:textId="77777777" w:rsidR="00704F2E" w:rsidRDefault="008B4314">
            <w:pPr>
              <w:spacing w:before="60" w:after="60"/>
            </w:pPr>
            <w:r>
              <w:rPr>
                <w:b/>
                <w:sz w:val="15"/>
              </w:rPr>
              <w:t>Field</w:t>
            </w:r>
          </w:p>
        </w:tc>
        <w:tc>
          <w:tcPr>
            <w:tcW w:w="7200" w:type="dxa"/>
            <w:shd w:val="clear" w:color="auto" w:fill="D9E1F2"/>
          </w:tcPr>
          <w:p w14:paraId="6F8E803C" w14:textId="77777777" w:rsidR="00704F2E" w:rsidRDefault="008B4314">
            <w:pPr>
              <w:spacing w:before="60" w:after="60"/>
            </w:pPr>
            <w:r>
              <w:rPr>
                <w:b/>
                <w:sz w:val="15"/>
              </w:rPr>
              <w:t>Detail</w:t>
            </w:r>
          </w:p>
        </w:tc>
      </w:tr>
      <w:tr w:rsidR="00704F2E" w14:paraId="595121CA" w14:textId="77777777">
        <w:trPr>
          <w:jc w:val="center"/>
        </w:trPr>
        <w:tc>
          <w:tcPr>
            <w:tcW w:w="2160" w:type="dxa"/>
          </w:tcPr>
          <w:p w14:paraId="7C7D6D3B" w14:textId="77777777" w:rsidR="00704F2E" w:rsidRDefault="008B4314">
            <w:pPr>
              <w:spacing w:before="60" w:after="60"/>
            </w:pPr>
            <w:r>
              <w:rPr>
                <w:sz w:val="15"/>
              </w:rPr>
              <w:t>Published</w:t>
            </w:r>
          </w:p>
        </w:tc>
        <w:tc>
          <w:tcPr>
            <w:tcW w:w="7200" w:type="dxa"/>
          </w:tcPr>
          <w:p w14:paraId="72D465C5" w14:textId="77777777" w:rsidR="00704F2E" w:rsidRDefault="008B4314">
            <w:pPr>
              <w:spacing w:before="60" w:after="60"/>
            </w:pPr>
            <w:r>
              <w:rPr>
                <w:sz w:val="15"/>
              </w:rPr>
              <w:t>March 2026</w:t>
            </w:r>
          </w:p>
        </w:tc>
      </w:tr>
      <w:tr w:rsidR="00704F2E" w14:paraId="3ABAE691" w14:textId="77777777">
        <w:trPr>
          <w:jc w:val="center"/>
        </w:trPr>
        <w:tc>
          <w:tcPr>
            <w:tcW w:w="2160" w:type="dxa"/>
          </w:tcPr>
          <w:p w14:paraId="188A1987" w14:textId="77777777" w:rsidR="00704F2E" w:rsidRDefault="008B4314">
            <w:pPr>
              <w:spacing w:before="60" w:after="60"/>
            </w:pPr>
            <w:r>
              <w:rPr>
                <w:sz w:val="15"/>
              </w:rPr>
              <w:t>Platform</w:t>
            </w:r>
          </w:p>
        </w:tc>
        <w:tc>
          <w:tcPr>
            <w:tcW w:w="7200" w:type="dxa"/>
          </w:tcPr>
          <w:p w14:paraId="05020D0A" w14:textId="77777777" w:rsidR="00704F2E" w:rsidRDefault="008B4314">
            <w:pPr>
              <w:spacing w:before="60" w:after="60"/>
            </w:pPr>
            <w:r>
              <w:rPr>
                <w:sz w:val="15"/>
              </w:rPr>
              <w:t>Zenodo — CERN-hosted open-access archive</w:t>
            </w:r>
          </w:p>
        </w:tc>
      </w:tr>
      <w:tr w:rsidR="00704F2E" w14:paraId="7B4E8924" w14:textId="77777777">
        <w:trPr>
          <w:jc w:val="center"/>
        </w:trPr>
        <w:tc>
          <w:tcPr>
            <w:tcW w:w="2160" w:type="dxa"/>
          </w:tcPr>
          <w:p w14:paraId="2F2C096A" w14:textId="77777777" w:rsidR="00704F2E" w:rsidRDefault="008B4314">
            <w:pPr>
              <w:spacing w:before="60" w:after="60"/>
            </w:pPr>
            <w:r>
              <w:rPr>
                <w:sz w:val="15"/>
              </w:rPr>
              <w:t>DOI</w:t>
            </w:r>
          </w:p>
        </w:tc>
        <w:tc>
          <w:tcPr>
            <w:tcW w:w="7200" w:type="dxa"/>
          </w:tcPr>
          <w:p w14:paraId="4771FEF3" w14:textId="77777777" w:rsidR="00704F2E" w:rsidRDefault="008B4314">
            <w:pPr>
              <w:spacing w:before="60" w:after="60"/>
            </w:pPr>
            <w:r>
              <w:rPr>
                <w:sz w:val="15"/>
              </w:rPr>
              <w:t>10.5281/zenodo.19037688</w:t>
            </w:r>
          </w:p>
        </w:tc>
      </w:tr>
    </w:tbl>
    <w:p w14:paraId="0EF01441" w14:textId="77777777" w:rsidR="00704F2E" w:rsidRDefault="008B4314">
      <w:pPr>
        <w:spacing w:before="120" w:after="240"/>
        <w:jc w:val="center"/>
      </w:pPr>
      <w:r>
        <w:rPr>
          <w:noProof/>
        </w:rPr>
        <w:lastRenderedPageBreak/>
        <w:drawing>
          <wp:inline distT="0" distB="0" distL="0" distR="0" wp14:anchorId="7286E18E" wp14:editId="3B87FA73">
            <wp:extent cx="4892040" cy="27517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do_udp.png"/>
                    <pic:cNvPicPr/>
                  </pic:nvPicPr>
                  <pic:blipFill>
                    <a:blip r:embed="rId9"/>
                    <a:stretch>
                      <a:fillRect/>
                    </a:stretch>
                  </pic:blipFill>
                  <pic:spPr>
                    <a:xfrm>
                      <a:off x="0" y="0"/>
                      <a:ext cx="4892040" cy="2751772"/>
                    </a:xfrm>
                    <a:prstGeom prst="rect">
                      <a:avLst/>
                    </a:prstGeom>
                  </pic:spPr>
                </pic:pic>
              </a:graphicData>
            </a:graphic>
          </wp:inline>
        </w:drawing>
      </w:r>
    </w:p>
    <w:p w14:paraId="2B45C3ED" w14:textId="77777777" w:rsidR="00704F2E" w:rsidRDefault="008B4314">
      <w:pPr>
        <w:keepNext/>
        <w:spacing w:before="120" w:after="120"/>
      </w:pPr>
      <w:r>
        <w:rPr>
          <w:i/>
          <w:color w:val="505050"/>
          <w:sz w:val="18"/>
        </w:rPr>
        <w:t>Figure 4: Zenodo record for ‘Universal Deviation Principle’. DOI: 10.5281/zenodo.19037688. Published March 2026.</w:t>
      </w:r>
    </w:p>
    <w:p w14:paraId="2E7A2B6C" w14:textId="77777777" w:rsidR="00704F2E" w:rsidRDefault="008B4314">
      <w:pPr>
        <w:spacing w:before="120" w:after="240"/>
      </w:pPr>
      <w:r>
        <w:rPr>
          <w:b/>
          <w:color w:val="1A2A4A"/>
          <w:sz w:val="19"/>
        </w:rPr>
        <w:t>6. Public Reach &amp; Traceability</w:t>
      </w:r>
    </w:p>
    <w:p w14:paraId="1FE09D49" w14:textId="77777777" w:rsidR="00704F2E" w:rsidRDefault="008B4314">
      <w:pPr>
        <w:spacing w:before="120" w:after="240"/>
      </w:pPr>
      <w:r>
        <w:t>All four papers are freely accessible via permanent DOIs. The view and download figures reflect organic readership — no promotion, outreach campaign, university network, or co-author was involved. Three papers were later incorporated into postgraduate course materials by Dr Sunday Adeola Ajagbe (see accompanying signed reference letter and the embedded course slide below).</w:t>
      </w:r>
    </w:p>
    <w:tbl>
      <w:tblPr>
        <w:tblStyle w:val="TableGrid"/>
        <w:tblW w:w="0" w:type="auto"/>
        <w:jc w:val="center"/>
        <w:tblLook w:val="04A0" w:firstRow="1" w:lastRow="0" w:firstColumn="1" w:lastColumn="0" w:noHBand="0" w:noVBand="1"/>
      </w:tblPr>
      <w:tblGrid>
        <w:gridCol w:w="3744"/>
        <w:gridCol w:w="1440"/>
        <w:gridCol w:w="1152"/>
        <w:gridCol w:w="1584"/>
        <w:gridCol w:w="2160"/>
      </w:tblGrid>
      <w:tr w:rsidR="00704F2E" w14:paraId="0B85CBDD" w14:textId="77777777">
        <w:trPr>
          <w:jc w:val="center"/>
        </w:trPr>
        <w:tc>
          <w:tcPr>
            <w:tcW w:w="3744" w:type="dxa"/>
            <w:shd w:val="clear" w:color="auto" w:fill="D9E1F2"/>
          </w:tcPr>
          <w:p w14:paraId="06FEC533" w14:textId="77777777" w:rsidR="00704F2E" w:rsidRDefault="008B4314">
            <w:pPr>
              <w:spacing w:before="60" w:after="60"/>
            </w:pPr>
            <w:r>
              <w:rPr>
                <w:b/>
                <w:sz w:val="15"/>
              </w:rPr>
              <w:t>Paper</w:t>
            </w:r>
          </w:p>
        </w:tc>
        <w:tc>
          <w:tcPr>
            <w:tcW w:w="1440" w:type="dxa"/>
            <w:shd w:val="clear" w:color="auto" w:fill="D9E1F2"/>
          </w:tcPr>
          <w:p w14:paraId="76DFFA89" w14:textId="77777777" w:rsidR="00704F2E" w:rsidRDefault="008B4314">
            <w:pPr>
              <w:spacing w:before="60" w:after="60"/>
            </w:pPr>
            <w:r>
              <w:rPr>
                <w:b/>
                <w:sz w:val="15"/>
              </w:rPr>
              <w:t>Platform</w:t>
            </w:r>
          </w:p>
        </w:tc>
        <w:tc>
          <w:tcPr>
            <w:tcW w:w="1152" w:type="dxa"/>
            <w:shd w:val="clear" w:color="auto" w:fill="D9E1F2"/>
          </w:tcPr>
          <w:p w14:paraId="099B3EC7" w14:textId="77777777" w:rsidR="00704F2E" w:rsidRDefault="008B4314">
            <w:pPr>
              <w:spacing w:before="60" w:after="60"/>
            </w:pPr>
            <w:r>
              <w:rPr>
                <w:b/>
                <w:sz w:val="15"/>
              </w:rPr>
              <w:t>Views</w:t>
            </w:r>
          </w:p>
        </w:tc>
        <w:tc>
          <w:tcPr>
            <w:tcW w:w="1584" w:type="dxa"/>
            <w:shd w:val="clear" w:color="auto" w:fill="D9E1F2"/>
          </w:tcPr>
          <w:p w14:paraId="23C40614" w14:textId="77777777" w:rsidR="00704F2E" w:rsidRDefault="008B4314">
            <w:pPr>
              <w:spacing w:before="60" w:after="60"/>
            </w:pPr>
            <w:r>
              <w:rPr>
                <w:b/>
                <w:sz w:val="15"/>
              </w:rPr>
              <w:t>Downloads</w:t>
            </w:r>
          </w:p>
        </w:tc>
        <w:tc>
          <w:tcPr>
            <w:tcW w:w="2160" w:type="dxa"/>
            <w:shd w:val="clear" w:color="auto" w:fill="D9E1F2"/>
          </w:tcPr>
          <w:p w14:paraId="3229E011" w14:textId="77777777" w:rsidR="00704F2E" w:rsidRDefault="008B4314">
            <w:pPr>
              <w:spacing w:before="60" w:after="60"/>
            </w:pPr>
            <w:r>
              <w:rPr>
                <w:b/>
                <w:sz w:val="15"/>
              </w:rPr>
              <w:t>Adopted (CPE 604)</w:t>
            </w:r>
          </w:p>
        </w:tc>
      </w:tr>
      <w:tr w:rsidR="00704F2E" w14:paraId="0D300A8F" w14:textId="77777777">
        <w:trPr>
          <w:jc w:val="center"/>
        </w:trPr>
        <w:tc>
          <w:tcPr>
            <w:tcW w:w="3744" w:type="dxa"/>
          </w:tcPr>
          <w:p w14:paraId="26EA8F0A" w14:textId="77777777" w:rsidR="00704F2E" w:rsidRDefault="008B4314">
            <w:pPr>
              <w:spacing w:before="60" w:after="60"/>
            </w:pPr>
            <w:r>
              <w:rPr>
                <w:sz w:val="15"/>
              </w:rPr>
              <w:t>AMTTP Infrastructure</w:t>
            </w:r>
          </w:p>
        </w:tc>
        <w:tc>
          <w:tcPr>
            <w:tcW w:w="1440" w:type="dxa"/>
          </w:tcPr>
          <w:p w14:paraId="0F7E3D7D" w14:textId="77777777" w:rsidR="00704F2E" w:rsidRDefault="008B4314">
            <w:pPr>
              <w:spacing w:before="60" w:after="60"/>
            </w:pPr>
            <w:r>
              <w:rPr>
                <w:sz w:val="15"/>
              </w:rPr>
              <w:t>TechRxiv</w:t>
            </w:r>
          </w:p>
        </w:tc>
        <w:tc>
          <w:tcPr>
            <w:tcW w:w="1152" w:type="dxa"/>
          </w:tcPr>
          <w:p w14:paraId="7909A97E" w14:textId="77777777" w:rsidR="00704F2E" w:rsidRDefault="008B4314">
            <w:pPr>
              <w:spacing w:before="60" w:after="60"/>
            </w:pPr>
            <w:r>
              <w:rPr>
                <w:sz w:val="15"/>
              </w:rPr>
              <w:t>230</w:t>
            </w:r>
          </w:p>
        </w:tc>
        <w:tc>
          <w:tcPr>
            <w:tcW w:w="1584" w:type="dxa"/>
          </w:tcPr>
          <w:p w14:paraId="02B832C0" w14:textId="77777777" w:rsidR="00704F2E" w:rsidRDefault="008B4314">
            <w:pPr>
              <w:spacing w:before="60" w:after="60"/>
            </w:pPr>
            <w:r>
              <w:rPr>
                <w:sz w:val="15"/>
              </w:rPr>
              <w:t>153</w:t>
            </w:r>
          </w:p>
        </w:tc>
        <w:tc>
          <w:tcPr>
            <w:tcW w:w="2160" w:type="dxa"/>
          </w:tcPr>
          <w:p w14:paraId="6F7F997C" w14:textId="77777777" w:rsidR="00704F2E" w:rsidRDefault="008B4314">
            <w:pPr>
              <w:spacing w:before="60" w:after="60"/>
            </w:pPr>
            <w:r>
              <w:rPr>
                <w:sz w:val="15"/>
              </w:rPr>
              <w:t>Yes</w:t>
            </w:r>
          </w:p>
        </w:tc>
      </w:tr>
      <w:tr w:rsidR="00704F2E" w14:paraId="46DA2658" w14:textId="77777777">
        <w:trPr>
          <w:jc w:val="center"/>
        </w:trPr>
        <w:tc>
          <w:tcPr>
            <w:tcW w:w="3744" w:type="dxa"/>
          </w:tcPr>
          <w:p w14:paraId="0711D8B5" w14:textId="77777777" w:rsidR="00704F2E" w:rsidRDefault="008B4314">
            <w:pPr>
              <w:spacing w:before="60" w:after="60"/>
            </w:pPr>
            <w:r>
              <w:rPr>
                <w:sz w:val="15"/>
              </w:rPr>
              <w:t>BSDT Framework</w:t>
            </w:r>
          </w:p>
        </w:tc>
        <w:tc>
          <w:tcPr>
            <w:tcW w:w="1440" w:type="dxa"/>
          </w:tcPr>
          <w:p w14:paraId="52B3598A" w14:textId="77777777" w:rsidR="00704F2E" w:rsidRDefault="008B4314">
            <w:pPr>
              <w:spacing w:before="60" w:after="60"/>
            </w:pPr>
            <w:r>
              <w:rPr>
                <w:sz w:val="15"/>
              </w:rPr>
              <w:t>Zenodo</w:t>
            </w:r>
          </w:p>
        </w:tc>
        <w:tc>
          <w:tcPr>
            <w:tcW w:w="1152" w:type="dxa"/>
          </w:tcPr>
          <w:p w14:paraId="457EEF67" w14:textId="77777777" w:rsidR="00704F2E" w:rsidRDefault="008B4314">
            <w:pPr>
              <w:spacing w:before="60" w:after="60"/>
            </w:pPr>
            <w:r>
              <w:rPr>
                <w:sz w:val="15"/>
              </w:rPr>
              <w:t>135</w:t>
            </w:r>
          </w:p>
        </w:tc>
        <w:tc>
          <w:tcPr>
            <w:tcW w:w="1584" w:type="dxa"/>
          </w:tcPr>
          <w:p w14:paraId="31B32E51" w14:textId="77777777" w:rsidR="00704F2E" w:rsidRDefault="008B4314">
            <w:pPr>
              <w:spacing w:before="60" w:after="60"/>
            </w:pPr>
            <w:r>
              <w:rPr>
                <w:sz w:val="15"/>
              </w:rPr>
              <w:t>57</w:t>
            </w:r>
          </w:p>
        </w:tc>
        <w:tc>
          <w:tcPr>
            <w:tcW w:w="2160" w:type="dxa"/>
          </w:tcPr>
          <w:p w14:paraId="4204A27B" w14:textId="77777777" w:rsidR="00704F2E" w:rsidRDefault="008B4314">
            <w:pPr>
              <w:spacing w:before="60" w:after="60"/>
            </w:pPr>
            <w:r>
              <w:rPr>
                <w:sz w:val="15"/>
              </w:rPr>
              <w:t>Yes</w:t>
            </w:r>
          </w:p>
        </w:tc>
      </w:tr>
      <w:tr w:rsidR="00704F2E" w14:paraId="0FED8F36" w14:textId="77777777">
        <w:trPr>
          <w:jc w:val="center"/>
        </w:trPr>
        <w:tc>
          <w:tcPr>
            <w:tcW w:w="3744" w:type="dxa"/>
          </w:tcPr>
          <w:p w14:paraId="39FDD9C2" w14:textId="77777777" w:rsidR="00704F2E" w:rsidRDefault="008B4314">
            <w:pPr>
              <w:spacing w:before="60" w:after="60"/>
            </w:pPr>
            <w:r>
              <w:rPr>
                <w:sz w:val="15"/>
              </w:rPr>
              <w:t>Geometry of System Collapse</w:t>
            </w:r>
          </w:p>
        </w:tc>
        <w:tc>
          <w:tcPr>
            <w:tcW w:w="1440" w:type="dxa"/>
          </w:tcPr>
          <w:p w14:paraId="5A97AE82" w14:textId="77777777" w:rsidR="00704F2E" w:rsidRDefault="008B4314">
            <w:pPr>
              <w:spacing w:before="60" w:after="60"/>
            </w:pPr>
            <w:r>
              <w:rPr>
                <w:sz w:val="15"/>
              </w:rPr>
              <w:t>Zenodo</w:t>
            </w:r>
          </w:p>
        </w:tc>
        <w:tc>
          <w:tcPr>
            <w:tcW w:w="1152" w:type="dxa"/>
          </w:tcPr>
          <w:p w14:paraId="080E9290" w14:textId="77777777" w:rsidR="00704F2E" w:rsidRDefault="008B4314">
            <w:pPr>
              <w:spacing w:before="60" w:after="60"/>
            </w:pPr>
            <w:r>
              <w:rPr>
                <w:sz w:val="15"/>
              </w:rPr>
              <w:t>—</w:t>
            </w:r>
          </w:p>
        </w:tc>
        <w:tc>
          <w:tcPr>
            <w:tcW w:w="1584" w:type="dxa"/>
          </w:tcPr>
          <w:p w14:paraId="32194FEB" w14:textId="77777777" w:rsidR="00704F2E" w:rsidRDefault="008B4314">
            <w:pPr>
              <w:spacing w:before="60" w:after="60"/>
            </w:pPr>
            <w:r>
              <w:rPr>
                <w:sz w:val="15"/>
              </w:rPr>
              <w:t>—</w:t>
            </w:r>
          </w:p>
        </w:tc>
        <w:tc>
          <w:tcPr>
            <w:tcW w:w="2160" w:type="dxa"/>
          </w:tcPr>
          <w:p w14:paraId="101BA74B" w14:textId="77777777" w:rsidR="00704F2E" w:rsidRDefault="008B4314">
            <w:pPr>
              <w:spacing w:before="60" w:after="60"/>
            </w:pPr>
            <w:r>
              <w:rPr>
                <w:sz w:val="15"/>
              </w:rPr>
              <w:t>Yes</w:t>
            </w:r>
          </w:p>
        </w:tc>
      </w:tr>
      <w:tr w:rsidR="00704F2E" w14:paraId="51213384" w14:textId="77777777">
        <w:trPr>
          <w:jc w:val="center"/>
        </w:trPr>
        <w:tc>
          <w:tcPr>
            <w:tcW w:w="3744" w:type="dxa"/>
          </w:tcPr>
          <w:p w14:paraId="279BCF7A" w14:textId="77777777" w:rsidR="00704F2E" w:rsidRDefault="008B4314">
            <w:pPr>
              <w:spacing w:before="60" w:after="60"/>
            </w:pPr>
            <w:r>
              <w:rPr>
                <w:sz w:val="15"/>
              </w:rPr>
              <w:t>Universal Deviation Principle</w:t>
            </w:r>
          </w:p>
        </w:tc>
        <w:tc>
          <w:tcPr>
            <w:tcW w:w="1440" w:type="dxa"/>
          </w:tcPr>
          <w:p w14:paraId="1F735264" w14:textId="77777777" w:rsidR="00704F2E" w:rsidRDefault="008B4314">
            <w:pPr>
              <w:spacing w:before="60" w:after="60"/>
            </w:pPr>
            <w:r>
              <w:rPr>
                <w:sz w:val="15"/>
              </w:rPr>
              <w:t>Zenodo</w:t>
            </w:r>
          </w:p>
        </w:tc>
        <w:tc>
          <w:tcPr>
            <w:tcW w:w="1152" w:type="dxa"/>
          </w:tcPr>
          <w:p w14:paraId="262C7C5A" w14:textId="77777777" w:rsidR="00704F2E" w:rsidRDefault="008B4314">
            <w:pPr>
              <w:spacing w:before="60" w:after="60"/>
            </w:pPr>
            <w:r>
              <w:rPr>
                <w:sz w:val="15"/>
              </w:rPr>
              <w:t>—</w:t>
            </w:r>
          </w:p>
        </w:tc>
        <w:tc>
          <w:tcPr>
            <w:tcW w:w="1584" w:type="dxa"/>
          </w:tcPr>
          <w:p w14:paraId="13AB611D" w14:textId="77777777" w:rsidR="00704F2E" w:rsidRDefault="008B4314">
            <w:pPr>
              <w:spacing w:before="60" w:after="60"/>
            </w:pPr>
            <w:r>
              <w:rPr>
                <w:sz w:val="15"/>
              </w:rPr>
              <w:t>—</w:t>
            </w:r>
          </w:p>
        </w:tc>
        <w:tc>
          <w:tcPr>
            <w:tcW w:w="2160" w:type="dxa"/>
          </w:tcPr>
          <w:p w14:paraId="30B955E6" w14:textId="77777777" w:rsidR="00704F2E" w:rsidRDefault="008B4314">
            <w:pPr>
              <w:spacing w:before="60" w:after="60"/>
            </w:pPr>
            <w:r>
              <w:rPr>
                <w:sz w:val="15"/>
              </w:rPr>
              <w:t>No</w:t>
            </w:r>
          </w:p>
        </w:tc>
      </w:tr>
      <w:tr w:rsidR="00704F2E" w14:paraId="302442DC" w14:textId="77777777">
        <w:trPr>
          <w:jc w:val="center"/>
        </w:trPr>
        <w:tc>
          <w:tcPr>
            <w:tcW w:w="3744" w:type="dxa"/>
          </w:tcPr>
          <w:p w14:paraId="01C23C6D" w14:textId="77777777" w:rsidR="00704F2E" w:rsidRDefault="008B4314">
            <w:pPr>
              <w:spacing w:before="60" w:after="60"/>
            </w:pPr>
            <w:r>
              <w:rPr>
                <w:b/>
                <w:sz w:val="15"/>
              </w:rPr>
              <w:t>Total</w:t>
            </w:r>
          </w:p>
        </w:tc>
        <w:tc>
          <w:tcPr>
            <w:tcW w:w="1440" w:type="dxa"/>
          </w:tcPr>
          <w:p w14:paraId="1394E38A" w14:textId="77777777" w:rsidR="00704F2E" w:rsidRDefault="008B4314">
            <w:pPr>
              <w:spacing w:before="60" w:after="60"/>
            </w:pPr>
            <w:r>
              <w:rPr>
                <w:sz w:val="15"/>
              </w:rPr>
              <w:t>—</w:t>
            </w:r>
          </w:p>
        </w:tc>
        <w:tc>
          <w:tcPr>
            <w:tcW w:w="1152" w:type="dxa"/>
          </w:tcPr>
          <w:p w14:paraId="51E9D29E" w14:textId="77777777" w:rsidR="00704F2E" w:rsidRDefault="008B4314">
            <w:pPr>
              <w:spacing w:before="60" w:after="60"/>
            </w:pPr>
            <w:r>
              <w:rPr>
                <w:b/>
                <w:sz w:val="15"/>
              </w:rPr>
              <w:t>365</w:t>
            </w:r>
          </w:p>
        </w:tc>
        <w:tc>
          <w:tcPr>
            <w:tcW w:w="1584" w:type="dxa"/>
          </w:tcPr>
          <w:p w14:paraId="1241CBB2" w14:textId="77777777" w:rsidR="00704F2E" w:rsidRDefault="008B4314">
            <w:pPr>
              <w:spacing w:before="60" w:after="60"/>
            </w:pPr>
            <w:r>
              <w:rPr>
                <w:b/>
                <w:sz w:val="15"/>
              </w:rPr>
              <w:t>210</w:t>
            </w:r>
          </w:p>
        </w:tc>
        <w:tc>
          <w:tcPr>
            <w:tcW w:w="2160" w:type="dxa"/>
          </w:tcPr>
          <w:p w14:paraId="01302C68" w14:textId="77777777" w:rsidR="00704F2E" w:rsidRDefault="008B4314">
            <w:pPr>
              <w:spacing w:before="60" w:after="60"/>
            </w:pPr>
            <w:r>
              <w:rPr>
                <w:b/>
                <w:sz w:val="15"/>
              </w:rPr>
              <w:t>3 of 4</w:t>
            </w:r>
          </w:p>
        </w:tc>
      </w:tr>
    </w:tbl>
    <w:p w14:paraId="7A25CAC9" w14:textId="77777777" w:rsidR="00704F2E" w:rsidRDefault="008B4314">
      <w:pPr>
        <w:keepNext/>
        <w:spacing w:before="120" w:after="120"/>
      </w:pPr>
      <w:r>
        <w:rPr>
          <w:i/>
          <w:color w:val="505050"/>
          <w:sz w:val="18"/>
        </w:rPr>
        <w:t>Table 1: Publication summary showing platforms, DOIs, and public metrics. Counts are independently verifiable at the DOI URLs listed above.</w:t>
      </w:r>
    </w:p>
    <w:p w14:paraId="16E176B2" w14:textId="77777777" w:rsidR="00704F2E" w:rsidRDefault="008B4314">
      <w:pPr>
        <w:spacing w:before="120" w:after="240"/>
      </w:pPr>
      <w:r>
        <w:t>The view and download counts are independently verifiable at the DOI pages listed above. Both platforms display their analytics publicly.</w:t>
      </w:r>
    </w:p>
    <w:p w14:paraId="62935BA9" w14:textId="77777777" w:rsidR="00704F2E" w:rsidRDefault="008B4314">
      <w:pPr>
        <w:spacing w:before="120" w:after="240"/>
      </w:pPr>
      <w:r>
        <w:t>Scope of this claim: these are open preprint and archive publications rather than journal-accepted papers. The evidential value lies in independent dissemination, public discoverability, and organic readership without institutional support — not in journal impact metrics.</w:t>
      </w:r>
    </w:p>
    <w:p w14:paraId="4A3049CC" w14:textId="77777777" w:rsidR="00704F2E" w:rsidRDefault="008B4314">
      <w:pPr>
        <w:spacing w:after="160"/>
      </w:pPr>
      <w:r>
        <w:rPr>
          <w:b/>
          <w:sz w:val="28"/>
        </w:rPr>
        <w:t>7. Independent Academic Adoption</w:t>
      </w:r>
    </w:p>
    <w:p w14:paraId="398BE410" w14:textId="77777777" w:rsidR="00704F2E" w:rsidRDefault="008B4314">
      <w:pPr>
        <w:spacing w:after="160"/>
      </w:pPr>
      <w:r>
        <w:t>Three of the four papers above were later incorporated into postgraduate course materials at Abiola Ajimobi Technical University, Nigeria, by Dr Sunday Adeola Ajagbe. The selection was independent — no submission, no prior relationship. The lecture slide below shows the applicant's papers listed under 'Recommended Readings' alongside established peer-reviewed work. A signed reference letter from Dr Ajagbe is provided as a separate supporting document.</w:t>
      </w:r>
    </w:p>
    <w:p w14:paraId="46B90231" w14:textId="77777777" w:rsidR="00704F2E" w:rsidRDefault="008B4314">
      <w:pPr>
        <w:spacing w:before="120" w:after="240"/>
        <w:jc w:val="center"/>
      </w:pPr>
      <w:r>
        <w:rPr>
          <w:noProof/>
        </w:rPr>
        <w:lastRenderedPageBreak/>
        <w:drawing>
          <wp:inline distT="0" distB="0" distL="0" distR="0" wp14:anchorId="6A9FDCF9" wp14:editId="11ED3C70">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png"/>
                    <pic:cNvPicPr/>
                  </pic:nvPicPr>
                  <pic:blipFill>
                    <a:blip r:embed="rId10"/>
                    <a:stretch>
                      <a:fillRect/>
                    </a:stretch>
                  </pic:blipFill>
                  <pic:spPr>
                    <a:xfrm>
                      <a:off x="0" y="0"/>
                      <a:ext cx="5486400" cy="3086100"/>
                    </a:xfrm>
                    <a:prstGeom prst="rect">
                      <a:avLst/>
                    </a:prstGeom>
                  </pic:spPr>
                </pic:pic>
              </a:graphicData>
            </a:graphic>
          </wp:inline>
        </w:drawing>
      </w:r>
    </w:p>
    <w:p w14:paraId="4295FD79" w14:textId="77777777" w:rsidR="00704F2E" w:rsidRDefault="008B4314">
      <w:pPr>
        <w:keepNext/>
        <w:spacing w:before="120" w:after="120"/>
      </w:pPr>
      <w:r>
        <w:rPr>
          <w:i/>
        </w:rPr>
        <w:t>Figure 5: Lecture slide from CPE 604 (Techniques in Machine Learning for Low-Resource Languages) showing three of the applicant's papers in the course's Recommended Reading list.</w:t>
      </w:r>
    </w:p>
    <w:sectPr w:rsidR="00704F2E"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004611">
    <w:abstractNumId w:val="8"/>
  </w:num>
  <w:num w:numId="2" w16cid:durableId="30346171">
    <w:abstractNumId w:val="6"/>
  </w:num>
  <w:num w:numId="3" w16cid:durableId="1515460683">
    <w:abstractNumId w:val="5"/>
  </w:num>
  <w:num w:numId="4" w16cid:durableId="519391193">
    <w:abstractNumId w:val="4"/>
  </w:num>
  <w:num w:numId="5" w16cid:durableId="474562656">
    <w:abstractNumId w:val="7"/>
  </w:num>
  <w:num w:numId="6" w16cid:durableId="1405839407">
    <w:abstractNumId w:val="3"/>
  </w:num>
  <w:num w:numId="7" w16cid:durableId="2134404677">
    <w:abstractNumId w:val="2"/>
  </w:num>
  <w:num w:numId="8" w16cid:durableId="779450691">
    <w:abstractNumId w:val="1"/>
  </w:num>
  <w:num w:numId="9" w16cid:durableId="174155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225"/>
    <w:rsid w:val="0029639D"/>
    <w:rsid w:val="00326F90"/>
    <w:rsid w:val="00521FFF"/>
    <w:rsid w:val="00704F2E"/>
    <w:rsid w:val="008B4314"/>
    <w:rsid w:val="00AA1D8D"/>
    <w:rsid w:val="00B47730"/>
    <w:rsid w:val="00CB0664"/>
    <w:rsid w:val="00F84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84D90"/>
  <w14:defaultImageDpi w14:val="300"/>
  <w15:docId w15:val="{A02F6E74-C8B8-4F90-B14D-CD29BD4F5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694</Words>
  <Characters>4328</Characters>
  <Application>Microsoft Office Word</Application>
  <DocSecurity>0</DocSecurity>
  <Lines>113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2026-05-19T16:57:00Z</dcterms:modified>
  <cp:category/>
</cp:coreProperties>
</file>