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A2A4A"/>
          <w:sz w:val="21"/>
        </w:rPr>
        <w:t>Tech Nation Visa — Global Talent (Exceptional Promise)</w:t>
      </w:r>
    </w:p>
    <w:p>
      <w:pPr>
        <w:spacing w:after="20"/>
      </w:pPr>
      <w:r>
        <w:rPr>
          <w:b/>
        </w:rPr>
        <w:t xml:space="preserve">Criteria: </w:t>
      </w:r>
      <w:r>
        <w:t>Mandatory Criteria — Innovation and Potential Leadership</w:t>
      </w:r>
    </w:p>
    <w:p>
      <w:pPr>
        <w:spacing w:after="40"/>
      </w:pPr>
      <w:r>
        <w:rPr>
          <w:b/>
        </w:rPr>
        <w:t xml:space="preserve">Applicant: </w:t>
      </w:r>
      <w:r>
        <w:t>Odeyemi Olusegun Israel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before="40" w:after="80"/>
        <w:jc w:val="center"/>
      </w:pPr>
      <w:r>
        <w:rPr>
          <w:b/>
          <w:color w:val="1A2A4A"/>
          <w:sz w:val="21"/>
        </w:rPr>
        <w:t>MC-1: Public AMTTP Deployment and External Validation</w:t>
      </w:r>
    </w:p>
    <w:p>
      <w:pPr>
        <w:spacing w:before="60" w:after="20"/>
      </w:pPr>
      <w:r>
        <w:rPr>
          <w:b/>
          <w:color w:val="1A2A4A"/>
          <w:sz w:val="19"/>
        </w:rPr>
        <w:t>1. Claim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after="40"/>
      </w:pPr>
      <w:r>
        <w:t>I independently designed and publicly deployed AMTTP, a real-time AML enforcement platform that makes risk decisions before blockchain settlement. This proves more than technical ability: it shows initiative, public release, user exposure, and external validation for an original digital-technology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592"/>
            <w:shd w:val="clear" w:color="auto" w:fill="D9E1F2"/>
          </w:tcPr>
          <w:p>
            <w:r>
              <w:rPr>
                <w:b/>
                <w:sz w:val="15"/>
              </w:rPr>
              <w:t>Claim</w:t>
            </w:r>
          </w:p>
        </w:tc>
        <w:tc>
          <w:tcPr>
            <w:tcW w:type="dxa" w:w="3456"/>
            <w:shd w:val="clear" w:color="auto" w:fill="D9E1F2"/>
          </w:tcPr>
          <w:p>
            <w:r>
              <w:rPr>
                <w:b/>
                <w:sz w:val="15"/>
              </w:rPr>
              <w:t>Evidence</w:t>
            </w:r>
          </w:p>
        </w:tc>
        <w:tc>
          <w:tcPr>
            <w:tcW w:type="dxa" w:w="3456"/>
            <w:shd w:val="clear" w:color="auto" w:fill="D9E1F2"/>
          </w:tcPr>
          <w:p>
            <w:r>
              <w:rPr>
                <w:b/>
                <w:sz w:val="15"/>
              </w:rPr>
              <w:t>Independent verification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Public product exists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amttp.com live deployment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Cloudflare analytics + public URL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Public interest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1,220 unique visitors; 38,320 requests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Cloudflare independent infrastructure analytics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Working system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4-minute demo and product screens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YouTube demo + War Room screenshots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External validation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Signed/sealed pilot agreement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Glitterati Estates Schedule A + signature/seal</w:t>
            </w:r>
          </w:p>
        </w:tc>
      </w:tr>
    </w:tbl>
    <w:p>
      <w:pPr>
        <w:spacing w:after="40"/>
      </w:pPr>
    </w:p>
    <w:p>
      <w:r>
        <w:rPr>
          <w:b/>
        </w:rPr>
        <w:t xml:space="preserve">Why this matters: </w:t>
      </w:r>
      <w:r>
        <w:t>AMTTP shifts AML from post-event reporting to pre-settlement enforcement, directly addressing a major digital-asset compliance problem: once assets move on-chain, reversal is difficult or impossible.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_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1: Independent Cloudflare analytics for amttp.com — public traffic evidence outside the applicant's control.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886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ttp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88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2: Four-layer architecture: Flutter/Next.js frontends, Express gateway, nine FastAPI services, Solidity contracts.</w:t>
      </w:r>
    </w:p>
    <w:p>
      <w:r>
        <w:rPr>
          <w:b/>
        </w:rPr>
        <w:t xml:space="preserve">Anti-loophole note: </w:t>
      </w:r>
      <w:r>
        <w:t>This exhibit does not rely only on screenshots. It ties the product to third-party infrastructure analytics, a public URL, a video demonstration, and a signed/sealed external pilot document.</w:t>
      </w:r>
    </w:p>
    <w:sectPr w:rsidR="00FC693F" w:rsidRPr="0006063C" w:rsidSect="00034616">
      <w:pgSz w:w="11906" w:h="16838"/>
      <w:pgMar w:top="510" w:right="879" w:bottom="51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