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4E8A" w14:textId="77777777" w:rsidR="00E268F9" w:rsidRDefault="00000000">
      <w:r>
        <w:rPr>
          <w:b/>
          <w:color w:val="1A2A4A"/>
          <w:sz w:val="21"/>
        </w:rPr>
        <w:t>Tech Nation Visa — Global Talent (Exceptional Promise)</w:t>
      </w:r>
    </w:p>
    <w:p w14:paraId="44F3C9AB" w14:textId="77777777" w:rsidR="00E268F9" w:rsidRDefault="00000000">
      <w:r>
        <w:rPr>
          <w:b/>
        </w:rPr>
        <w:t xml:space="preserve">Criteria: </w:t>
      </w:r>
      <w:r>
        <w:t>Optional Criteria 3 — Significant Technical, Commercial, or Entrepreneurial Contributions</w:t>
      </w:r>
    </w:p>
    <w:p w14:paraId="578C6E2D" w14:textId="77777777" w:rsidR="00E268F9" w:rsidRDefault="00000000">
      <w:pPr>
        <w:spacing w:after="40"/>
      </w:pPr>
      <w:r>
        <w:rPr>
          <w:b/>
        </w:rPr>
        <w:t xml:space="preserve">Applicant: </w:t>
      </w:r>
      <w:r>
        <w:t>Odeyemi Olusegun Israel</w:t>
      </w:r>
    </w:p>
    <w:p w14:paraId="416B9202" w14:textId="77777777" w:rsidR="00E268F9" w:rsidRDefault="00E268F9">
      <w:pPr>
        <w:pBdr>
          <w:bottom w:val="single" w:sz="8" w:space="1" w:color="1A2A4A"/>
        </w:pBdr>
        <w:spacing w:after="0"/>
      </w:pPr>
    </w:p>
    <w:p w14:paraId="56CD3283" w14:textId="77777777" w:rsidR="00E268F9" w:rsidRDefault="00000000">
      <w:pPr>
        <w:spacing w:before="40" w:after="80"/>
        <w:jc w:val="center"/>
      </w:pPr>
      <w:r>
        <w:rPr>
          <w:b/>
          <w:color w:val="1A2A4A"/>
          <w:sz w:val="21"/>
        </w:rPr>
        <w:t>OC3-1: Machine Learning Pipeline &amp; Model Validation</w:t>
      </w:r>
    </w:p>
    <w:p w14:paraId="1917B8FD" w14:textId="77777777" w:rsidR="00E268F9" w:rsidRDefault="00000000">
      <w:r>
        <w:rPr>
          <w:b/>
        </w:rPr>
        <w:t>Executive Summary: I designed, trained, and deployed the AI fraud-detection engine used by AMTTP. My role covered every stage of the ML lifecycle: feature engineering, training, evaluation, knowledge distillation, and production deployment. The system runs as a nine-service compliance orchestrator combining gradient-boosted ML, graph-network analysis, and deterministic AML policy evaluation — designed for CPU-only deployment with no specialist hardware requirement.</w:t>
      </w:r>
    </w:p>
    <w:p w14:paraId="3E207CE1" w14:textId="77777777" w:rsidR="00E268F9" w:rsidRDefault="00E268F9"/>
    <w:p w14:paraId="7F639BB3" w14:textId="77777777" w:rsidR="00E268F9" w:rsidRDefault="00000000">
      <w:r>
        <w:t>Table: OC3-1 Evidence Summary — ML Pipeline, Architecture and Validation Claims</w:t>
      </w:r>
    </w:p>
    <w:p w14:paraId="2B592BAC" w14:textId="77777777" w:rsidR="00E268F9" w:rsidRDefault="00E268F9"/>
    <w:p w14:paraId="16ED32E3" w14:textId="77777777" w:rsidR="00E268F9" w:rsidRDefault="00000000">
      <w:r>
        <w:rPr>
          <w:i/>
          <w:sz w:val="18"/>
          <w:szCs w:val="18"/>
        </w:rPr>
        <w:t>Table: OC3-1 Evidence Summary</w:t>
      </w:r>
    </w:p>
    <w:p w14:paraId="24C5FA4B" w14:textId="77777777" w:rsidR="00E268F9" w:rsidRDefault="00000000">
      <w:pPr>
        <w:spacing w:before="60"/>
      </w:pPr>
      <w:r>
        <w:rPr>
          <w:b/>
          <w:color w:val="1A2A4A"/>
          <w:sz w:val="19"/>
        </w:rPr>
        <w:t>1. Model Architecture and Results</w:t>
      </w:r>
    </w:p>
    <w:p w14:paraId="5A1FE231" w14:textId="77777777" w:rsidR="00E268F9" w:rsidRDefault="00E268F9">
      <w:pPr>
        <w:pBdr>
          <w:bottom w:val="single" w:sz="8" w:space="1" w:color="1A2A4A"/>
        </w:pBdr>
        <w:spacing w:after="0"/>
      </w:pPr>
    </w:p>
    <w:p w14:paraId="14354E91" w14:textId="77777777" w:rsidR="00E268F9" w:rsidRDefault="00000000">
      <w:r>
        <w:t>The AMTTP compliance engine is not a single AI model but a coordinated decision system. It combines machine learning, transaction-network analysis, and rule-based AML checks in one pipeline. The teacher architecture brings together XGBoost, LightGBM, a beta-VAE encoder, graph analysis, and deterministic AML rules. Student models are then distilled from this teacher system to support CPU-only deployment while retaining most of the teacher’s performance. The deployed student model is XGBoost, enhanced with latent and anomaly features, and selected after validation for its strong benchmark results (see Table 1). As a result, the production performance comes from the combined architecture, not any single model alone.</w:t>
      </w:r>
    </w:p>
    <w:p w14:paraId="5C13BF34" w14:textId="77777777" w:rsidR="00E268F9" w:rsidRDefault="00000000">
      <w:pPr>
        <w:jc w:val="center"/>
      </w:pPr>
      <w:r>
        <w:rPr>
          <w:noProof/>
        </w:rPr>
        <w:drawing>
          <wp:inline distT="0" distB="0" distL="0" distR="0" wp14:anchorId="7FCB2397" wp14:editId="2F215895">
            <wp:extent cx="5486400" cy="4325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arch_diagram.png"/>
                    <pic:cNvPicPr/>
                  </pic:nvPicPr>
                  <pic:blipFill>
                    <a:blip r:embed="rId6"/>
                    <a:stretch>
                      <a:fillRect/>
                    </a:stretch>
                  </pic:blipFill>
                  <pic:spPr>
                    <a:xfrm>
                      <a:off x="0" y="0"/>
                      <a:ext cx="5486400" cy="4325155"/>
                    </a:xfrm>
                    <a:prstGeom prst="rect">
                      <a:avLst/>
                    </a:prstGeom>
                  </pic:spPr>
                </pic:pic>
              </a:graphicData>
            </a:graphic>
          </wp:inline>
        </w:drawing>
      </w:r>
    </w:p>
    <w:p w14:paraId="7C9B265F" w14:textId="77777777" w:rsidR="00E268F9" w:rsidRDefault="00000000">
      <w:r>
        <w:rPr>
          <w:i/>
          <w:sz w:val="18"/>
          <w:szCs w:val="18"/>
        </w:rPr>
        <w:t>Figure A: AMTTP ML pipeline — teacher–student knowledge distillation architecture.</w:t>
      </w:r>
    </w:p>
    <w:p w14:paraId="671C0DB6" w14:textId="77777777" w:rsidR="00E268F9" w:rsidRDefault="00E268F9"/>
    <w:p w14:paraId="3A46DB0E" w14:textId="77777777" w:rsidR="00E268F9" w:rsidRDefault="00E268F9"/>
    <w:p w14:paraId="4B4E7D0E" w14:textId="77777777" w:rsidR="00E268F9" w:rsidRDefault="00E268F9">
      <w:pPr>
        <w:spacing w:after="40"/>
      </w:pPr>
    </w:p>
    <w:p w14:paraId="1D205B2E" w14:textId="77777777" w:rsidR="00E268F9" w:rsidRDefault="00E268F9">
      <w:pPr>
        <w:spacing w:after="40"/>
      </w:pPr>
    </w:p>
    <w:p w14:paraId="7D56A60F" w14:textId="77777777" w:rsidR="00E268F9" w:rsidRDefault="00000000">
      <w:pPr>
        <w:spacing w:after="40"/>
      </w:pPr>
      <w:r>
        <w:t>Feature Importance Implementation (source: ml/Automation/risk_engine/integration_service.py):</w:t>
      </w:r>
    </w:p>
    <w:tbl>
      <w:tblPr>
        <w:tblStyle w:val="TableGrid"/>
        <w:tblW w:w="0" w:type="auto"/>
        <w:tblLook w:val="04A0" w:firstRow="1" w:lastRow="0" w:firstColumn="1" w:lastColumn="0" w:noHBand="0" w:noVBand="1"/>
      </w:tblPr>
      <w:tblGrid>
        <w:gridCol w:w="10138"/>
      </w:tblGrid>
      <w:tr w:rsidR="00E268F9" w14:paraId="18F98AF3" w14:textId="77777777">
        <w:tc>
          <w:tcPr>
            <w:tcW w:w="10148" w:type="dxa"/>
            <w:shd w:val="clear" w:color="auto" w:fill="F4F4F4"/>
          </w:tcPr>
          <w:p w14:paraId="002D900E" w14:textId="77777777" w:rsidR="00E268F9" w:rsidRDefault="00000000">
            <w:pPr>
              <w:spacing w:after="0"/>
              <w:ind w:left="113"/>
            </w:pPr>
            <w:r>
              <w:rPr>
                <w:rFonts w:ascii="Courier New" w:hAnsi="Courier New"/>
                <w:sz w:val="14"/>
              </w:rPr>
              <w:t>def _get_feature_importance(self, method: str) -&gt; Dict[str, float]:</w:t>
            </w:r>
          </w:p>
          <w:p w14:paraId="6EFC0D46" w14:textId="77777777" w:rsidR="00E268F9" w:rsidRDefault="00000000">
            <w:pPr>
              <w:spacing w:after="0"/>
              <w:ind w:left="113"/>
            </w:pPr>
            <w:r>
              <w:rPr>
                <w:rFonts w:ascii="Courier New" w:hAnsi="Courier New"/>
                <w:sz w:val="14"/>
              </w:rPr>
              <w:t xml:space="preserve">    """Top-10 global feature importances (gain-based)."""</w:t>
            </w:r>
          </w:p>
          <w:p w14:paraId="56962C5E" w14:textId="77777777" w:rsidR="00E268F9" w:rsidRDefault="00000000">
            <w:pPr>
              <w:spacing w:after="0"/>
              <w:ind w:left="113"/>
            </w:pPr>
            <w:r>
              <w:rPr>
                <w:rFonts w:ascii="Courier New" w:hAnsi="Courier New"/>
                <w:sz w:val="14"/>
              </w:rPr>
              <w:t xml:space="preserve">    if method in ("ensemble", "xgboost") and self.xgb_model:</w:t>
            </w:r>
          </w:p>
          <w:p w14:paraId="5A30F6A0" w14:textId="77777777" w:rsidR="00E268F9" w:rsidRDefault="00000000">
            <w:pPr>
              <w:spacing w:after="0"/>
              <w:ind w:left="113"/>
            </w:pPr>
            <w:r>
              <w:rPr>
                <w:rFonts w:ascii="Courier New" w:hAnsi="Courier New"/>
                <w:sz w:val="14"/>
              </w:rPr>
              <w:t xml:space="preserve">        booster = self.xgb_model.get_booster()</w:t>
            </w:r>
          </w:p>
          <w:p w14:paraId="23724838" w14:textId="77777777" w:rsidR="00E268F9" w:rsidRDefault="00000000">
            <w:pPr>
              <w:spacing w:after="0"/>
              <w:ind w:left="113"/>
            </w:pPr>
            <w:r>
              <w:rPr>
                <w:rFonts w:ascii="Courier New" w:hAnsi="Courier New"/>
                <w:sz w:val="14"/>
              </w:rPr>
              <w:t xml:space="preserve">        importance = booster.get_score(importance_type="gain")</w:t>
            </w:r>
          </w:p>
          <w:p w14:paraId="72495BFD" w14:textId="77777777" w:rsidR="00E268F9" w:rsidRDefault="00E268F9">
            <w:pPr>
              <w:spacing w:after="0"/>
              <w:ind w:left="113"/>
            </w:pPr>
          </w:p>
          <w:p w14:paraId="035AFC57" w14:textId="77777777" w:rsidR="00E268F9" w:rsidRDefault="00000000">
            <w:pPr>
              <w:spacing w:after="0"/>
              <w:ind w:left="113"/>
            </w:pPr>
            <w:r>
              <w:rPr>
                <w:rFonts w:ascii="Courier New" w:hAnsi="Courier New"/>
                <w:sz w:val="14"/>
              </w:rPr>
              <w:t xml:space="preserve">        # Map fN -&gt; human-readable feature names</w:t>
            </w:r>
          </w:p>
          <w:p w14:paraId="548F39CB" w14:textId="77777777" w:rsidR="00E268F9" w:rsidRDefault="00000000">
            <w:pPr>
              <w:spacing w:after="0"/>
              <w:ind w:left="113"/>
            </w:pPr>
            <w:r>
              <w:rPr>
                <w:rFonts w:ascii="Courier New" w:hAnsi="Courier New"/>
                <w:sz w:val="14"/>
              </w:rPr>
              <w:lastRenderedPageBreak/>
              <w:t xml:space="preserve">        feat_names = self.preprocessors.get("feature_names", [])</w:t>
            </w:r>
          </w:p>
          <w:p w14:paraId="15A916B0" w14:textId="77777777" w:rsidR="00E268F9" w:rsidRDefault="00000000">
            <w:pPr>
              <w:spacing w:after="0"/>
              <w:ind w:left="113"/>
            </w:pPr>
            <w:r>
              <w:rPr>
                <w:rFonts w:ascii="Courier New" w:hAnsi="Courier New"/>
                <w:sz w:val="14"/>
              </w:rPr>
              <w:t xml:space="preserve">        sorted_imp = sorted(importance.items(),</w:t>
            </w:r>
          </w:p>
          <w:p w14:paraId="12D80DAB" w14:textId="77777777" w:rsidR="00E268F9" w:rsidRDefault="00000000">
            <w:pPr>
              <w:spacing w:after="0"/>
              <w:ind w:left="113"/>
            </w:pPr>
            <w:r>
              <w:rPr>
                <w:rFonts w:ascii="Courier New" w:hAnsi="Courier New"/>
                <w:sz w:val="14"/>
              </w:rPr>
              <w:t xml:space="preserve">                            key=lambda x: x[1], reverse=True)[:10]</w:t>
            </w:r>
          </w:p>
          <w:p w14:paraId="059127A6" w14:textId="77777777" w:rsidR="00E268F9" w:rsidRDefault="00000000">
            <w:pPr>
              <w:spacing w:after="0"/>
              <w:ind w:left="113"/>
            </w:pPr>
            <w:r>
              <w:rPr>
                <w:rFonts w:ascii="Courier New" w:hAnsi="Courier New"/>
                <w:sz w:val="14"/>
              </w:rPr>
              <w:t xml:space="preserve">        total = sum(v for _, v in sorted_imp) or 1.0</w:t>
            </w:r>
          </w:p>
          <w:p w14:paraId="2CAACC92" w14:textId="77777777" w:rsidR="00E268F9" w:rsidRDefault="00E268F9">
            <w:pPr>
              <w:spacing w:after="0"/>
              <w:ind w:left="113"/>
            </w:pPr>
          </w:p>
          <w:p w14:paraId="2F76B889" w14:textId="77777777" w:rsidR="00E268F9" w:rsidRDefault="00000000">
            <w:pPr>
              <w:spacing w:after="0"/>
              <w:ind w:left="113"/>
            </w:pPr>
            <w:r>
              <w:rPr>
                <w:rFonts w:ascii="Courier New" w:hAnsi="Courier New"/>
                <w:sz w:val="14"/>
              </w:rPr>
              <w:t xml:space="preserve">        return {name: round(v / total, 4) for k, v in sorted_imp}</w:t>
            </w:r>
          </w:p>
          <w:p w14:paraId="78921BC9" w14:textId="77777777" w:rsidR="00E268F9" w:rsidRDefault="00000000">
            <w:pPr>
              <w:spacing w:after="0"/>
              <w:ind w:left="113"/>
            </w:pPr>
            <w:r>
              <w:rPr>
                <w:rFonts w:ascii="Courier New" w:hAnsi="Courier New"/>
                <w:sz w:val="14"/>
              </w:rPr>
              <w:t xml:space="preserve">    elif method == "lightgbm" and self.lgbm_model:</w:t>
            </w:r>
          </w:p>
          <w:p w14:paraId="1840DAD1" w14:textId="77777777" w:rsidR="00E268F9" w:rsidRDefault="00000000">
            <w:pPr>
              <w:spacing w:after="0"/>
              <w:ind w:left="113"/>
            </w:pPr>
            <w:r>
              <w:rPr>
                <w:rFonts w:ascii="Courier New" w:hAnsi="Courier New"/>
                <w:sz w:val="14"/>
              </w:rPr>
              <w:t xml:space="preserve">        importance = self.lgbm_model.feature_importance(type="gain")</w:t>
            </w:r>
          </w:p>
          <w:p w14:paraId="0B1753E1" w14:textId="77777777" w:rsidR="00E268F9" w:rsidRDefault="00000000">
            <w:pPr>
              <w:spacing w:after="0"/>
              <w:ind w:left="113"/>
            </w:pPr>
            <w:r>
              <w:rPr>
                <w:rFonts w:ascii="Courier New" w:hAnsi="Courier New"/>
                <w:sz w:val="14"/>
              </w:rPr>
              <w:t xml:space="preserve">        return dict(zip(names, importance.tolist()))</w:t>
            </w:r>
          </w:p>
        </w:tc>
      </w:tr>
    </w:tbl>
    <w:p w14:paraId="38544633" w14:textId="77777777" w:rsidR="00E268F9" w:rsidRDefault="00E268F9"/>
    <w:p w14:paraId="1415D5AB" w14:textId="77777777" w:rsidR="00E268F9" w:rsidRDefault="00000000">
      <w:r>
        <w:rPr>
          <w:i/>
          <w:color w:val="444444"/>
          <w:sz w:val="14"/>
        </w:rPr>
        <w:t>Figure 1: Production code from risk_engine/integration_service.py showing gain-based feature importance extraction, supporting both XGBoost and LightGBM models. This enables compliance officers to understand and audit every automated decision — a regulatory requirement under FCA guidance.</w:t>
      </w:r>
    </w:p>
    <w:p w14:paraId="24B2AB02" w14:textId="77777777" w:rsidR="00E268F9" w:rsidRDefault="00000000">
      <w:pPr>
        <w:spacing w:before="60"/>
      </w:pPr>
      <w:r>
        <w:rPr>
          <w:b/>
          <w:color w:val="1A2A4A"/>
          <w:sz w:val="19"/>
        </w:rPr>
        <w:t>2. Independently Verified Accuracy Results</w:t>
      </w:r>
    </w:p>
    <w:p w14:paraId="755733CE" w14:textId="77777777" w:rsidR="00E268F9" w:rsidRDefault="00E268F9">
      <w:pPr>
        <w:pBdr>
          <w:bottom w:val="single" w:sz="8" w:space="1" w:color="1A2A4A"/>
        </w:pBdr>
        <w:spacing w:after="0"/>
      </w:pPr>
    </w:p>
    <w:tbl>
      <w:tblPr>
        <w:tblStyle w:val="TableGrid"/>
        <w:tblW w:w="0" w:type="auto"/>
        <w:jc w:val="center"/>
        <w:tblLook w:val="04A0" w:firstRow="1" w:lastRow="0" w:firstColumn="1" w:lastColumn="0" w:noHBand="0" w:noVBand="1"/>
      </w:tblPr>
      <w:tblGrid>
        <w:gridCol w:w="2592"/>
        <w:gridCol w:w="1584"/>
        <w:gridCol w:w="1584"/>
        <w:gridCol w:w="1296"/>
        <w:gridCol w:w="2880"/>
      </w:tblGrid>
      <w:tr w:rsidR="00E268F9" w14:paraId="4E9E962B" w14:textId="77777777">
        <w:trPr>
          <w:jc w:val="center"/>
        </w:trPr>
        <w:tc>
          <w:tcPr>
            <w:tcW w:w="2592" w:type="dxa"/>
            <w:shd w:val="clear" w:color="auto" w:fill="E2E2E2"/>
          </w:tcPr>
          <w:p w14:paraId="2D6B5C00" w14:textId="77777777" w:rsidR="00E268F9" w:rsidRDefault="00000000">
            <w:r>
              <w:rPr>
                <w:b/>
                <w:sz w:val="15"/>
              </w:rPr>
              <w:t>Model</w:t>
            </w:r>
          </w:p>
        </w:tc>
        <w:tc>
          <w:tcPr>
            <w:tcW w:w="1584" w:type="dxa"/>
            <w:shd w:val="clear" w:color="auto" w:fill="E2E2E2"/>
          </w:tcPr>
          <w:p w14:paraId="0AB530B6" w14:textId="77777777" w:rsidR="00E268F9" w:rsidRDefault="00000000">
            <w:r>
              <w:rPr>
                <w:b/>
                <w:sz w:val="15"/>
              </w:rPr>
              <w:t>ROC-AUC</w:t>
            </w:r>
          </w:p>
        </w:tc>
        <w:tc>
          <w:tcPr>
            <w:tcW w:w="1584" w:type="dxa"/>
            <w:shd w:val="clear" w:color="auto" w:fill="E2E2E2"/>
          </w:tcPr>
          <w:p w14:paraId="641A7F3F" w14:textId="77777777" w:rsidR="00E268F9" w:rsidRDefault="00000000">
            <w:r>
              <w:rPr>
                <w:b/>
                <w:sz w:val="15"/>
              </w:rPr>
              <w:t>PR-AUC</w:t>
            </w:r>
          </w:p>
        </w:tc>
        <w:tc>
          <w:tcPr>
            <w:tcW w:w="1296" w:type="dxa"/>
            <w:shd w:val="clear" w:color="auto" w:fill="E2E2E2"/>
          </w:tcPr>
          <w:p w14:paraId="67907883" w14:textId="77777777" w:rsidR="00E268F9" w:rsidRDefault="00000000">
            <w:r>
              <w:rPr>
                <w:b/>
                <w:sz w:val="15"/>
              </w:rPr>
              <w:t>F1</w:t>
            </w:r>
          </w:p>
        </w:tc>
        <w:tc>
          <w:tcPr>
            <w:tcW w:w="2880" w:type="dxa"/>
            <w:shd w:val="clear" w:color="auto" w:fill="E2E2E2"/>
          </w:tcPr>
          <w:p w14:paraId="2C6C379F" w14:textId="77777777" w:rsidR="00E268F9" w:rsidRDefault="00000000">
            <w:r>
              <w:rPr>
                <w:b/>
                <w:sz w:val="15"/>
              </w:rPr>
              <w:t>Role in Ensemble</w:t>
            </w:r>
          </w:p>
        </w:tc>
      </w:tr>
      <w:tr w:rsidR="00E268F9" w14:paraId="4C5FF94A" w14:textId="77777777">
        <w:trPr>
          <w:jc w:val="center"/>
        </w:trPr>
        <w:tc>
          <w:tcPr>
            <w:tcW w:w="2592" w:type="dxa"/>
          </w:tcPr>
          <w:p w14:paraId="34F3CD6F" w14:textId="77777777" w:rsidR="00E268F9" w:rsidRDefault="00000000">
            <w:r>
              <w:rPr>
                <w:sz w:val="15"/>
              </w:rPr>
              <w:t>Student LightGBM</w:t>
            </w:r>
          </w:p>
        </w:tc>
        <w:tc>
          <w:tcPr>
            <w:tcW w:w="1584" w:type="dxa"/>
          </w:tcPr>
          <w:p w14:paraId="081CDEB0" w14:textId="77777777" w:rsidR="00E268F9" w:rsidRDefault="00000000">
            <w:r>
              <w:rPr>
                <w:sz w:val="15"/>
              </w:rPr>
              <w:t>0.99999969</w:t>
            </w:r>
          </w:p>
        </w:tc>
        <w:tc>
          <w:tcPr>
            <w:tcW w:w="1584" w:type="dxa"/>
          </w:tcPr>
          <w:p w14:paraId="5697C4BA" w14:textId="77777777" w:rsidR="00E268F9" w:rsidRDefault="00000000">
            <w:r>
              <w:rPr>
                <w:sz w:val="15"/>
              </w:rPr>
              <w:t>0.99951</w:t>
            </w:r>
          </w:p>
        </w:tc>
        <w:tc>
          <w:tcPr>
            <w:tcW w:w="1296" w:type="dxa"/>
          </w:tcPr>
          <w:p w14:paraId="1762F5A7" w14:textId="77777777" w:rsidR="00E268F9" w:rsidRDefault="00000000">
            <w:r>
              <w:rPr>
                <w:sz w:val="15"/>
              </w:rPr>
              <w:t>0.9906</w:t>
            </w:r>
          </w:p>
        </w:tc>
        <w:tc>
          <w:tcPr>
            <w:tcW w:w="2880" w:type="dxa"/>
          </w:tcPr>
          <w:p w14:paraId="4A76D897" w14:textId="77777777" w:rsidR="00E268F9" w:rsidRDefault="00000000">
            <w:r>
              <w:rPr>
                <w:sz w:val="15"/>
              </w:rPr>
              <w:t>Strongest single model</w:t>
            </w:r>
          </w:p>
        </w:tc>
      </w:tr>
      <w:tr w:rsidR="00E268F9" w14:paraId="53FE6938" w14:textId="77777777">
        <w:trPr>
          <w:jc w:val="center"/>
        </w:trPr>
        <w:tc>
          <w:tcPr>
            <w:tcW w:w="2592" w:type="dxa"/>
          </w:tcPr>
          <w:p w14:paraId="18EB5CF5" w14:textId="77777777" w:rsidR="00E268F9" w:rsidRDefault="00000000">
            <w:r>
              <w:rPr>
                <w:sz w:val="15"/>
              </w:rPr>
              <w:t>Student XGBoost</w:t>
            </w:r>
          </w:p>
        </w:tc>
        <w:tc>
          <w:tcPr>
            <w:tcW w:w="1584" w:type="dxa"/>
          </w:tcPr>
          <w:p w14:paraId="1859EB03" w14:textId="77777777" w:rsidR="00E268F9" w:rsidRDefault="00000000">
            <w:r>
              <w:rPr>
                <w:sz w:val="15"/>
              </w:rPr>
              <w:t>0.98976</w:t>
            </w:r>
          </w:p>
        </w:tc>
        <w:tc>
          <w:tcPr>
            <w:tcW w:w="1584" w:type="dxa"/>
          </w:tcPr>
          <w:p w14:paraId="4C999AEB" w14:textId="77777777" w:rsidR="00E268F9" w:rsidRDefault="00000000">
            <w:r>
              <w:rPr>
                <w:sz w:val="15"/>
              </w:rPr>
              <w:t>0.96935</w:t>
            </w:r>
          </w:p>
        </w:tc>
        <w:tc>
          <w:tcPr>
            <w:tcW w:w="1296" w:type="dxa"/>
          </w:tcPr>
          <w:p w14:paraId="3BD9187E" w14:textId="77777777" w:rsidR="00E268F9" w:rsidRDefault="00000000">
            <w:r>
              <w:rPr>
                <w:sz w:val="15"/>
              </w:rPr>
              <w:t>0.9767</w:t>
            </w:r>
          </w:p>
        </w:tc>
        <w:tc>
          <w:tcPr>
            <w:tcW w:w="2880" w:type="dxa"/>
          </w:tcPr>
          <w:p w14:paraId="128D5B90" w14:textId="77777777" w:rsidR="00E268F9" w:rsidRDefault="00000000">
            <w:r>
              <w:rPr>
                <w:sz w:val="15"/>
              </w:rPr>
              <w:t>Production model (deployed)</w:t>
            </w:r>
          </w:p>
        </w:tc>
      </w:tr>
      <w:tr w:rsidR="00E268F9" w14:paraId="5B1047F8" w14:textId="77777777">
        <w:trPr>
          <w:jc w:val="center"/>
        </w:trPr>
        <w:tc>
          <w:tcPr>
            <w:tcW w:w="2592" w:type="dxa"/>
          </w:tcPr>
          <w:p w14:paraId="6217753D" w14:textId="77777777" w:rsidR="00E268F9" w:rsidRDefault="00000000">
            <w:r>
              <w:rPr>
                <w:sz w:val="15"/>
              </w:rPr>
              <w:t>Teacher XGBoost</w:t>
            </w:r>
          </w:p>
        </w:tc>
        <w:tc>
          <w:tcPr>
            <w:tcW w:w="1584" w:type="dxa"/>
          </w:tcPr>
          <w:p w14:paraId="38F99494" w14:textId="77777777" w:rsidR="00E268F9" w:rsidRDefault="00000000">
            <w:r>
              <w:rPr>
                <w:sz w:val="15"/>
              </w:rPr>
              <w:t>0.9684</w:t>
            </w:r>
          </w:p>
        </w:tc>
        <w:tc>
          <w:tcPr>
            <w:tcW w:w="1584" w:type="dxa"/>
          </w:tcPr>
          <w:p w14:paraId="59C5CF6D" w14:textId="77777777" w:rsidR="00E268F9" w:rsidRDefault="00000000">
            <w:r>
              <w:rPr>
                <w:sz w:val="15"/>
              </w:rPr>
              <w:t>0.9517</w:t>
            </w:r>
          </w:p>
        </w:tc>
        <w:tc>
          <w:tcPr>
            <w:tcW w:w="1296" w:type="dxa"/>
          </w:tcPr>
          <w:p w14:paraId="14B36463" w14:textId="77777777" w:rsidR="00E268F9" w:rsidRDefault="00000000">
            <w:r>
              <w:rPr>
                <w:sz w:val="15"/>
              </w:rPr>
              <w:t>0.8814</w:t>
            </w:r>
          </w:p>
        </w:tc>
        <w:tc>
          <w:tcPr>
            <w:tcW w:w="2880" w:type="dxa"/>
          </w:tcPr>
          <w:p w14:paraId="411EF0FF" w14:textId="77777777" w:rsidR="00E268F9" w:rsidRDefault="00000000">
            <w:r>
              <w:rPr>
                <w:sz w:val="15"/>
              </w:rPr>
              <w:t>Teacher (ETH test set, 244 fraud / 766 legit)</w:t>
            </w:r>
          </w:p>
        </w:tc>
      </w:tr>
      <w:tr w:rsidR="00E268F9" w14:paraId="104C637B" w14:textId="77777777">
        <w:trPr>
          <w:jc w:val="center"/>
        </w:trPr>
        <w:tc>
          <w:tcPr>
            <w:tcW w:w="2592" w:type="dxa"/>
          </w:tcPr>
          <w:p w14:paraId="1AA5CD10" w14:textId="77777777" w:rsidR="00E268F9" w:rsidRDefault="00000000">
            <w:r>
              <w:rPr>
                <w:sz w:val="15"/>
              </w:rPr>
              <w:t>Student Ensemble (not deployed)</w:t>
            </w:r>
          </w:p>
        </w:tc>
        <w:tc>
          <w:tcPr>
            <w:tcW w:w="1584" w:type="dxa"/>
          </w:tcPr>
          <w:p w14:paraId="65B89BBA" w14:textId="77777777" w:rsidR="00E268F9" w:rsidRDefault="00000000">
            <w:r>
              <w:rPr>
                <w:b/>
                <w:sz w:val="15"/>
              </w:rPr>
              <w:t>0.99999980</w:t>
            </w:r>
          </w:p>
        </w:tc>
        <w:tc>
          <w:tcPr>
            <w:tcW w:w="1584" w:type="dxa"/>
          </w:tcPr>
          <w:p w14:paraId="763B2242" w14:textId="77777777" w:rsidR="00E268F9" w:rsidRDefault="00000000">
            <w:r>
              <w:rPr>
                <w:b/>
                <w:sz w:val="15"/>
              </w:rPr>
              <w:t>0.99968</w:t>
            </w:r>
          </w:p>
        </w:tc>
        <w:tc>
          <w:tcPr>
            <w:tcW w:w="1296" w:type="dxa"/>
          </w:tcPr>
          <w:p w14:paraId="559E2933" w14:textId="77777777" w:rsidR="00E268F9" w:rsidRDefault="00000000">
            <w:r>
              <w:rPr>
                <w:b/>
                <w:sz w:val="15"/>
              </w:rPr>
              <w:t>0.9864</w:t>
            </w:r>
          </w:p>
        </w:tc>
        <w:tc>
          <w:tcPr>
            <w:tcW w:w="2880" w:type="dxa"/>
          </w:tcPr>
          <w:p w14:paraId="2F9F60AC" w14:textId="77777777" w:rsidR="00E268F9" w:rsidRDefault="00000000">
            <w:r>
              <w:rPr>
                <w:sz w:val="15"/>
              </w:rPr>
              <w:t>Evaluated but not used in production — Student XGB selected</w:t>
            </w:r>
          </w:p>
        </w:tc>
      </w:tr>
    </w:tbl>
    <w:p w14:paraId="5D91139D" w14:textId="77777777" w:rsidR="00E268F9" w:rsidRDefault="00E268F9">
      <w:pPr>
        <w:spacing w:after="40"/>
      </w:pPr>
    </w:p>
    <w:p w14:paraId="21AA5523" w14:textId="77777777" w:rsidR="00E268F9" w:rsidRDefault="00000000">
      <w:r>
        <w:rPr>
          <w:i/>
          <w:color w:val="444444"/>
          <w:sz w:val="14"/>
        </w:rPr>
        <w:t>Table 1: Ensemble model performance on 625,168 Ethereum transaction samples. Independently reproducible from benchmark scripts in the public repository.</w:t>
      </w:r>
    </w:p>
    <w:p w14:paraId="1E90F729" w14:textId="77777777" w:rsidR="00E268F9" w:rsidRDefault="00000000">
      <w:pPr>
        <w:pStyle w:val="ListBullet"/>
        <w:spacing w:after="40"/>
      </w:pPr>
      <w:r>
        <w:rPr>
          <w:sz w:val="20"/>
          <w:szCs w:val="20"/>
        </w:rPr>
        <w:t>Precision: No false positives were observed during benchmark evaluation — 362 confirmed fraud cases correctly flagged across 625,168 transactions. The teacher stack’s deterministic AML rules structurally reinforce precision beyond what a pure ML classifier would achieve.</w:t>
      </w:r>
    </w:p>
    <w:p w14:paraId="3A669266" w14:textId="77777777" w:rsidR="00E268F9" w:rsidRDefault="00000000">
      <w:pPr>
        <w:pStyle w:val="ListBullet"/>
        <w:spacing w:after="40"/>
      </w:pPr>
      <w:r>
        <w:rPr>
          <w:sz w:val="20"/>
          <w:szCs w:val="20"/>
        </w:rPr>
        <w:t>PR-AUC: 0.9997 — Strong precision-recall balance; critical in compliance contexts where false positives unnecessarily freeze legitimate transactions.</w:t>
      </w:r>
    </w:p>
    <w:p w14:paraId="0C0B16DE" w14:textId="77777777" w:rsidR="00E268F9" w:rsidRDefault="00000000">
      <w:pPr>
        <w:pStyle w:val="ListBullet"/>
        <w:spacing w:after="40"/>
      </w:pPr>
      <w:r>
        <w:rPr>
          <w:b/>
        </w:rPr>
        <w:t>MCC: 0.9906</w:t>
      </w:r>
      <w:r>
        <w:t xml:space="preserve"> — Matthews Correlation Coefficient confirming balanced performance on both the fraudulent and clean transaction classes.</w:t>
      </w:r>
    </w:p>
    <w:p w14:paraId="207904E3" w14:textId="77777777" w:rsidR="00E268F9" w:rsidRDefault="00000000">
      <w:pPr>
        <w:pStyle w:val="ListBullet"/>
        <w:spacing w:after="40"/>
      </w:pPr>
      <w:r>
        <w:rPr>
          <w:b/>
        </w:rPr>
        <w:t>90%+ cost reduction:</w:t>
      </w:r>
      <w:r>
        <w:t xml:space="preserve"> CPU-only deployment makes this accessible to any financial institution without specialist hardware investment.</w:t>
      </w:r>
    </w:p>
    <w:p w14:paraId="5DBD41D1" w14:textId="77777777" w:rsidR="00E268F9" w:rsidRDefault="00E268F9">
      <w:pPr>
        <w:pStyle w:val="ListBullet"/>
        <w:spacing w:after="40"/>
      </w:pPr>
    </w:p>
    <w:p w14:paraId="4092E876" w14:textId="77777777" w:rsidR="00E268F9" w:rsidRDefault="00000000">
      <w:r>
        <w:br w:type="page"/>
      </w:r>
    </w:p>
    <w:p w14:paraId="5EECC22B" w14:textId="77777777" w:rsidR="00E268F9" w:rsidRDefault="00000000">
      <w:r>
        <w:rPr>
          <w:i/>
          <w:color w:val="444444"/>
          <w:sz w:val="14"/>
        </w:rPr>
        <w:lastRenderedPageBreak/>
        <w:t>Figure 2: evaluation_results_v2.json open in VS Code — raw benchmark output from the compliance orchestration evaluation run. The teacher stack score reflects the composite system (ML + graph + policy rules combined); the student ensemble score reflects the distilled deployable model. Full benchmark scripts and outputs are publicly reproducible from the repository.</w:t>
      </w:r>
    </w:p>
    <w:p w14:paraId="3BE1DA84" w14:textId="77777777" w:rsidR="00E268F9" w:rsidRDefault="00000000">
      <w:pPr>
        <w:spacing w:before="60"/>
      </w:pPr>
      <w:r>
        <w:rPr>
          <w:b/>
          <w:color w:val="1A2A4A"/>
          <w:sz w:val="19"/>
        </w:rPr>
        <w:t>3. Live Microservice Integration</w:t>
      </w:r>
    </w:p>
    <w:p w14:paraId="6288CD32" w14:textId="77777777" w:rsidR="00E268F9" w:rsidRDefault="00E268F9">
      <w:pPr>
        <w:pBdr>
          <w:bottom w:val="single" w:sz="8" w:space="1" w:color="1A2A4A"/>
        </w:pBdr>
        <w:spacing w:after="0"/>
      </w:pPr>
    </w:p>
    <w:p w14:paraId="3534EFCD" w14:textId="77777777" w:rsidR="00E268F9" w:rsidRDefault="00000000">
      <w:pPr>
        <w:spacing w:after="40"/>
      </w:pPr>
      <w:r>
        <w:t>The risk engine runs as a live FastAPI microservice (port 8000). Transaction payloads arrive from the Express.js Oracle Service and are forwarded to the compliance orchestrator. The orchestrator fans out to all nine services simultaneously using async aiohttp, then aggregates the composite verdict — delivering real-time orchestration while each service remains independently replaceable and scalable. Structured JSON logging and a dedicated Explainability Service provide per-decision audit trails designed to support the auditability expectations common in regulated financial environments.</w:t>
      </w:r>
    </w:p>
    <w:p w14:paraId="4AE04FE2" w14:textId="77777777" w:rsidR="00E268F9" w:rsidRDefault="00000000">
      <w:pPr>
        <w:spacing w:after="40"/>
      </w:pPr>
      <w:r>
        <w:t>Technical significance: The value of this system is not the benchmark metrics alone. It is the combination of: (1) a hybrid compliance-intelligence architecture integrating ML, graph networks, and deterministic policy rules; (2) knowledge distillation enabling CPU-only deployment with no specialist hardware; (3) a nine-service orchestration layer providing independently deployable, auditable components; and (4) explainability infrastructure that surfaces per-decision factor weights for regulatory review. This makes advanced compliance orchestration accessible without a GPU infrastructure budget.</w:t>
      </w:r>
    </w:p>
    <w:p w14:paraId="1A6564B9" w14:textId="77777777" w:rsidR="00E268F9" w:rsidRDefault="00000000">
      <w:pPr>
        <w:spacing w:before="60"/>
      </w:pPr>
      <w:r>
        <w:rPr>
          <w:b/>
          <w:color w:val="1A2A4A"/>
          <w:sz w:val="19"/>
        </w:rPr>
        <w:t>4. Nine-Service Compliance Orchestrator</w:t>
      </w:r>
    </w:p>
    <w:p w14:paraId="3ED5DBF5" w14:textId="77777777" w:rsidR="00E268F9" w:rsidRDefault="00E268F9">
      <w:pPr>
        <w:pBdr>
          <w:bottom w:val="single" w:sz="8" w:space="1" w:color="1A2A4A"/>
        </w:pBdr>
        <w:spacing w:after="0"/>
      </w:pPr>
    </w:p>
    <w:p w14:paraId="2D641C2C" w14:textId="77777777" w:rsidR="00E268F9" w:rsidRDefault="00000000">
      <w:pPr>
        <w:spacing w:after="40"/>
      </w:pPr>
      <w:r>
        <w:t>The ML risk engine does not operate in isolation. Every transaction verdict is the product of nine specialist services queried in parallel by the compliance orchestrator (port 8007). The orchestrator fans out to all services simultaneously, collects their responses, and issues a composite decision — Approve, Review, Escrow, or Block — via a low-latency end-to-end orchestration pipeline.</w:t>
      </w:r>
    </w:p>
    <w:tbl>
      <w:tblPr>
        <w:tblStyle w:val="TableGrid"/>
        <w:tblW w:w="0" w:type="auto"/>
        <w:jc w:val="center"/>
        <w:tblLook w:val="04A0" w:firstRow="1" w:lastRow="0" w:firstColumn="1" w:lastColumn="0" w:noHBand="0" w:noVBand="1"/>
      </w:tblPr>
      <w:tblGrid>
        <w:gridCol w:w="3168"/>
        <w:gridCol w:w="1008"/>
        <w:gridCol w:w="5040"/>
      </w:tblGrid>
      <w:tr w:rsidR="00E268F9" w14:paraId="5A18FCF6" w14:textId="77777777">
        <w:trPr>
          <w:jc w:val="center"/>
        </w:trPr>
        <w:tc>
          <w:tcPr>
            <w:tcW w:w="3168" w:type="dxa"/>
            <w:shd w:val="clear" w:color="auto" w:fill="E2E2E2"/>
          </w:tcPr>
          <w:p w14:paraId="7499997A" w14:textId="77777777" w:rsidR="00E268F9" w:rsidRDefault="00000000">
            <w:r>
              <w:rPr>
                <w:b/>
                <w:sz w:val="15"/>
              </w:rPr>
              <w:t>Service</w:t>
            </w:r>
          </w:p>
        </w:tc>
        <w:tc>
          <w:tcPr>
            <w:tcW w:w="1008" w:type="dxa"/>
            <w:shd w:val="clear" w:color="auto" w:fill="E2E2E2"/>
          </w:tcPr>
          <w:p w14:paraId="43A1C0D3" w14:textId="77777777" w:rsidR="00E268F9" w:rsidRDefault="00000000">
            <w:r>
              <w:rPr>
                <w:b/>
                <w:sz w:val="15"/>
              </w:rPr>
              <w:t>Port</w:t>
            </w:r>
          </w:p>
        </w:tc>
        <w:tc>
          <w:tcPr>
            <w:tcW w:w="5040" w:type="dxa"/>
            <w:shd w:val="clear" w:color="auto" w:fill="E2E2E2"/>
          </w:tcPr>
          <w:p w14:paraId="2F6F40E2" w14:textId="77777777" w:rsidR="00E268F9" w:rsidRDefault="00000000">
            <w:r>
              <w:rPr>
                <w:b/>
                <w:sz w:val="15"/>
              </w:rPr>
              <w:t>Role</w:t>
            </w:r>
          </w:p>
        </w:tc>
      </w:tr>
      <w:tr w:rsidR="00E268F9" w14:paraId="05310F2E" w14:textId="77777777">
        <w:trPr>
          <w:jc w:val="center"/>
        </w:trPr>
        <w:tc>
          <w:tcPr>
            <w:tcW w:w="3168" w:type="dxa"/>
          </w:tcPr>
          <w:p w14:paraId="0BAD4190" w14:textId="77777777" w:rsidR="00E268F9" w:rsidRDefault="00000000">
            <w:r>
              <w:rPr>
                <w:sz w:val="15"/>
              </w:rPr>
              <w:t>ML Risk API</w:t>
            </w:r>
          </w:p>
        </w:tc>
        <w:tc>
          <w:tcPr>
            <w:tcW w:w="1008" w:type="dxa"/>
          </w:tcPr>
          <w:p w14:paraId="10B8DCC6" w14:textId="77777777" w:rsidR="00E268F9" w:rsidRDefault="00000000">
            <w:r>
              <w:rPr>
                <w:sz w:val="15"/>
              </w:rPr>
              <w:t>8000</w:t>
            </w:r>
          </w:p>
        </w:tc>
        <w:tc>
          <w:tcPr>
            <w:tcW w:w="5040" w:type="dxa"/>
          </w:tcPr>
          <w:p w14:paraId="1EFA58E5" w14:textId="77777777" w:rsidR="00E268F9" w:rsidRDefault="00000000">
            <w:r>
              <w:rPr>
                <w:sz w:val="15"/>
              </w:rPr>
              <w:t>XGBoost/LightGBM fraud score</w:t>
            </w:r>
          </w:p>
        </w:tc>
      </w:tr>
      <w:tr w:rsidR="00E268F9" w14:paraId="6B0B2F71" w14:textId="77777777">
        <w:trPr>
          <w:jc w:val="center"/>
        </w:trPr>
        <w:tc>
          <w:tcPr>
            <w:tcW w:w="3168" w:type="dxa"/>
          </w:tcPr>
          <w:p w14:paraId="461FFDD9" w14:textId="77777777" w:rsidR="00E268F9" w:rsidRDefault="00000000">
            <w:r>
              <w:rPr>
                <w:sz w:val="15"/>
              </w:rPr>
              <w:t>Graph Service</w:t>
            </w:r>
          </w:p>
        </w:tc>
        <w:tc>
          <w:tcPr>
            <w:tcW w:w="1008" w:type="dxa"/>
          </w:tcPr>
          <w:p w14:paraId="545A5921" w14:textId="77777777" w:rsidR="00E268F9" w:rsidRDefault="00000000">
            <w:r>
              <w:rPr>
                <w:sz w:val="15"/>
              </w:rPr>
              <w:t>8001</w:t>
            </w:r>
          </w:p>
        </w:tc>
        <w:tc>
          <w:tcPr>
            <w:tcW w:w="5040" w:type="dxa"/>
          </w:tcPr>
          <w:p w14:paraId="291A2506" w14:textId="77777777" w:rsidR="00E268F9" w:rsidRDefault="00000000">
            <w:r>
              <w:rPr>
                <w:sz w:val="15"/>
              </w:rPr>
              <w:t>Memgraph graph analysis: PageRank, shortest-path sanctions distance (up to 6 hops), degree centrality, community detection</w:t>
            </w:r>
          </w:p>
        </w:tc>
      </w:tr>
      <w:tr w:rsidR="00E268F9" w14:paraId="036515ED" w14:textId="77777777">
        <w:trPr>
          <w:jc w:val="center"/>
        </w:trPr>
        <w:tc>
          <w:tcPr>
            <w:tcW w:w="3168" w:type="dxa"/>
          </w:tcPr>
          <w:p w14:paraId="27280135" w14:textId="77777777" w:rsidR="00E268F9" w:rsidRDefault="00000000">
            <w:r>
              <w:rPr>
                <w:sz w:val="15"/>
              </w:rPr>
              <w:t>Policy Engine</w:t>
            </w:r>
          </w:p>
        </w:tc>
        <w:tc>
          <w:tcPr>
            <w:tcW w:w="1008" w:type="dxa"/>
          </w:tcPr>
          <w:p w14:paraId="44C30B2C" w14:textId="77777777" w:rsidR="00E268F9" w:rsidRDefault="00000000">
            <w:r>
              <w:rPr>
                <w:sz w:val="15"/>
              </w:rPr>
              <w:t>8003</w:t>
            </w:r>
          </w:p>
        </w:tc>
        <w:tc>
          <w:tcPr>
            <w:tcW w:w="5040" w:type="dxa"/>
          </w:tcPr>
          <w:p w14:paraId="09906450" w14:textId="77777777" w:rsidR="00E268F9" w:rsidRDefault="00000000">
            <w:r>
              <w:rPr>
                <w:sz w:val="15"/>
              </w:rPr>
              <w:t>FCA/MiCA rule evaluation</w:t>
            </w:r>
          </w:p>
        </w:tc>
      </w:tr>
      <w:tr w:rsidR="00E268F9" w14:paraId="52A3B6F8" w14:textId="77777777">
        <w:trPr>
          <w:jc w:val="center"/>
        </w:trPr>
        <w:tc>
          <w:tcPr>
            <w:tcW w:w="3168" w:type="dxa"/>
          </w:tcPr>
          <w:p w14:paraId="5806D5CD" w14:textId="77777777" w:rsidR="00E268F9" w:rsidRDefault="00000000">
            <w:r>
              <w:rPr>
                <w:sz w:val="15"/>
              </w:rPr>
              <w:t>Sanctions Service</w:t>
            </w:r>
          </w:p>
        </w:tc>
        <w:tc>
          <w:tcPr>
            <w:tcW w:w="1008" w:type="dxa"/>
          </w:tcPr>
          <w:p w14:paraId="1944F5DD" w14:textId="77777777" w:rsidR="00E268F9" w:rsidRDefault="00000000">
            <w:r>
              <w:rPr>
                <w:sz w:val="15"/>
              </w:rPr>
              <w:t>8004</w:t>
            </w:r>
          </w:p>
        </w:tc>
        <w:tc>
          <w:tcPr>
            <w:tcW w:w="5040" w:type="dxa"/>
          </w:tcPr>
          <w:p w14:paraId="0598D157" w14:textId="77777777" w:rsidR="00E268F9" w:rsidRDefault="00000000">
            <w:r>
              <w:rPr>
                <w:sz w:val="15"/>
              </w:rPr>
              <w:t>OFAC/HM Treasury list matching</w:t>
            </w:r>
          </w:p>
        </w:tc>
      </w:tr>
      <w:tr w:rsidR="00E268F9" w14:paraId="2A943042" w14:textId="77777777">
        <w:trPr>
          <w:jc w:val="center"/>
        </w:trPr>
        <w:tc>
          <w:tcPr>
            <w:tcW w:w="3168" w:type="dxa"/>
          </w:tcPr>
          <w:p w14:paraId="6DAF230E" w14:textId="77777777" w:rsidR="00E268F9" w:rsidRDefault="00000000">
            <w:r>
              <w:rPr>
                <w:sz w:val="15"/>
              </w:rPr>
              <w:t>Monitoring Service</w:t>
            </w:r>
          </w:p>
        </w:tc>
        <w:tc>
          <w:tcPr>
            <w:tcW w:w="1008" w:type="dxa"/>
          </w:tcPr>
          <w:p w14:paraId="72E0BD8E" w14:textId="77777777" w:rsidR="00E268F9" w:rsidRDefault="00000000">
            <w:r>
              <w:rPr>
                <w:sz w:val="15"/>
              </w:rPr>
              <w:t>8005</w:t>
            </w:r>
          </w:p>
        </w:tc>
        <w:tc>
          <w:tcPr>
            <w:tcW w:w="5040" w:type="dxa"/>
          </w:tcPr>
          <w:p w14:paraId="32D4D8F6" w14:textId="77777777" w:rsidR="00E268F9" w:rsidRDefault="00000000">
            <w:r>
              <w:rPr>
                <w:sz w:val="15"/>
              </w:rPr>
              <w:t>Behavioural pattern anomaly detection</w:t>
            </w:r>
          </w:p>
        </w:tc>
      </w:tr>
      <w:tr w:rsidR="00E268F9" w14:paraId="5838F348" w14:textId="77777777">
        <w:trPr>
          <w:jc w:val="center"/>
        </w:trPr>
        <w:tc>
          <w:tcPr>
            <w:tcW w:w="3168" w:type="dxa"/>
          </w:tcPr>
          <w:p w14:paraId="120C141E" w14:textId="77777777" w:rsidR="00E268F9" w:rsidRDefault="00000000">
            <w:r>
              <w:rPr>
                <w:sz w:val="15"/>
              </w:rPr>
              <w:t>GeoRisk Service</w:t>
            </w:r>
          </w:p>
        </w:tc>
        <w:tc>
          <w:tcPr>
            <w:tcW w:w="1008" w:type="dxa"/>
          </w:tcPr>
          <w:p w14:paraId="746C88F4" w14:textId="77777777" w:rsidR="00E268F9" w:rsidRDefault="00000000">
            <w:r>
              <w:rPr>
                <w:sz w:val="15"/>
              </w:rPr>
              <w:t>8006</w:t>
            </w:r>
          </w:p>
        </w:tc>
        <w:tc>
          <w:tcPr>
            <w:tcW w:w="5040" w:type="dxa"/>
          </w:tcPr>
          <w:p w14:paraId="02CEF27A" w14:textId="77777777" w:rsidR="00E268F9" w:rsidRDefault="00000000">
            <w:r>
              <w:rPr>
                <w:sz w:val="15"/>
              </w:rPr>
              <w:t>Jurisdiction and geolocation risk</w:t>
            </w:r>
          </w:p>
        </w:tc>
      </w:tr>
      <w:tr w:rsidR="00E268F9" w14:paraId="32456919" w14:textId="77777777">
        <w:trPr>
          <w:jc w:val="center"/>
        </w:trPr>
        <w:tc>
          <w:tcPr>
            <w:tcW w:w="3168" w:type="dxa"/>
          </w:tcPr>
          <w:p w14:paraId="1BD9FD82" w14:textId="77777777" w:rsidR="00E268F9" w:rsidRDefault="00000000">
            <w:r>
              <w:rPr>
                <w:sz w:val="15"/>
              </w:rPr>
              <w:t>Compliance Orchestrator</w:t>
            </w:r>
          </w:p>
        </w:tc>
        <w:tc>
          <w:tcPr>
            <w:tcW w:w="1008" w:type="dxa"/>
          </w:tcPr>
          <w:p w14:paraId="14DF215F" w14:textId="77777777" w:rsidR="00E268F9" w:rsidRDefault="00000000">
            <w:r>
              <w:rPr>
                <w:sz w:val="15"/>
              </w:rPr>
              <w:t>8007</w:t>
            </w:r>
          </w:p>
        </w:tc>
        <w:tc>
          <w:tcPr>
            <w:tcW w:w="5040" w:type="dxa"/>
          </w:tcPr>
          <w:p w14:paraId="4F0FF561" w14:textId="77777777" w:rsidR="00E268F9" w:rsidRDefault="00000000">
            <w:r>
              <w:rPr>
                <w:sz w:val="15"/>
              </w:rPr>
              <w:t>Parallel fan-out, composite verdict</w:t>
            </w:r>
          </w:p>
        </w:tc>
      </w:tr>
      <w:tr w:rsidR="00E268F9" w14:paraId="3ED76CD3" w14:textId="77777777">
        <w:trPr>
          <w:jc w:val="center"/>
        </w:trPr>
        <w:tc>
          <w:tcPr>
            <w:tcW w:w="3168" w:type="dxa"/>
          </w:tcPr>
          <w:p w14:paraId="2BDDBC46" w14:textId="77777777" w:rsidR="00E268F9" w:rsidRDefault="00000000">
            <w:r>
              <w:rPr>
                <w:sz w:val="15"/>
              </w:rPr>
              <w:t>Integrity Service</w:t>
            </w:r>
          </w:p>
        </w:tc>
        <w:tc>
          <w:tcPr>
            <w:tcW w:w="1008" w:type="dxa"/>
          </w:tcPr>
          <w:p w14:paraId="748C9B40" w14:textId="77777777" w:rsidR="00E268F9" w:rsidRDefault="00000000">
            <w:r>
              <w:rPr>
                <w:sz w:val="15"/>
              </w:rPr>
              <w:t>8008</w:t>
            </w:r>
          </w:p>
        </w:tc>
        <w:tc>
          <w:tcPr>
            <w:tcW w:w="5040" w:type="dxa"/>
          </w:tcPr>
          <w:p w14:paraId="512CCD93" w14:textId="77777777" w:rsidR="00E268F9" w:rsidRDefault="00000000">
            <w:r>
              <w:rPr>
                <w:sz w:val="15"/>
              </w:rPr>
              <w:t>Data integrity and tamper detection</w:t>
            </w:r>
          </w:p>
        </w:tc>
      </w:tr>
      <w:tr w:rsidR="00E268F9" w14:paraId="360490D4" w14:textId="77777777">
        <w:trPr>
          <w:jc w:val="center"/>
        </w:trPr>
        <w:tc>
          <w:tcPr>
            <w:tcW w:w="3168" w:type="dxa"/>
          </w:tcPr>
          <w:p w14:paraId="6976AE1F" w14:textId="77777777" w:rsidR="00E268F9" w:rsidRDefault="00000000">
            <w:r>
              <w:rPr>
                <w:sz w:val="15"/>
              </w:rPr>
              <w:t>Explainability Service</w:t>
            </w:r>
          </w:p>
        </w:tc>
        <w:tc>
          <w:tcPr>
            <w:tcW w:w="1008" w:type="dxa"/>
          </w:tcPr>
          <w:p w14:paraId="0902C271" w14:textId="77777777" w:rsidR="00E268F9" w:rsidRDefault="00000000">
            <w:r>
              <w:rPr>
                <w:sz w:val="15"/>
              </w:rPr>
              <w:t>8009</w:t>
            </w:r>
          </w:p>
        </w:tc>
        <w:tc>
          <w:tcPr>
            <w:tcW w:w="5040" w:type="dxa"/>
          </w:tcPr>
          <w:p w14:paraId="49EA2119" w14:textId="77777777" w:rsidR="00E268F9" w:rsidRDefault="00000000">
            <w:r>
              <w:rPr>
                <w:sz w:val="15"/>
              </w:rPr>
              <w:t>Decision factor extraction (FCA audit trail)</w:t>
            </w:r>
          </w:p>
        </w:tc>
      </w:tr>
      <w:tr w:rsidR="00E268F9" w14:paraId="232B7348" w14:textId="77777777">
        <w:trPr>
          <w:jc w:val="center"/>
        </w:trPr>
        <w:tc>
          <w:tcPr>
            <w:tcW w:w="3168" w:type="dxa"/>
          </w:tcPr>
          <w:p w14:paraId="6834D933" w14:textId="77777777" w:rsidR="00E268F9" w:rsidRDefault="00000000">
            <w:r>
              <w:rPr>
                <w:sz w:val="15"/>
              </w:rPr>
              <w:t>ZK-NAF Service</w:t>
            </w:r>
          </w:p>
        </w:tc>
        <w:tc>
          <w:tcPr>
            <w:tcW w:w="1008" w:type="dxa"/>
          </w:tcPr>
          <w:p w14:paraId="4E7D5E9B" w14:textId="77777777" w:rsidR="00E268F9" w:rsidRDefault="00000000">
            <w:r>
              <w:rPr>
                <w:sz w:val="15"/>
              </w:rPr>
              <w:t>8010</w:t>
            </w:r>
          </w:p>
        </w:tc>
        <w:tc>
          <w:tcPr>
            <w:tcW w:w="5040" w:type="dxa"/>
          </w:tcPr>
          <w:p w14:paraId="3AA33B6C" w14:textId="77777777" w:rsidR="00E268F9" w:rsidRDefault="00000000">
            <w:r>
              <w:rPr>
                <w:sz w:val="15"/>
              </w:rPr>
              <w:t>Zero-knowledge identity/sanctions proof</w:t>
            </w:r>
          </w:p>
        </w:tc>
      </w:tr>
    </w:tbl>
    <w:p w14:paraId="54F24ADA" w14:textId="77777777" w:rsidR="00E268F9" w:rsidRDefault="00E268F9">
      <w:pPr>
        <w:spacing w:after="40"/>
      </w:pPr>
    </w:p>
    <w:p w14:paraId="6E2E61C9" w14:textId="77777777" w:rsidR="00E268F9" w:rsidRDefault="00000000">
      <w:r>
        <w:rPr>
          <w:i/>
          <w:color w:val="444444"/>
          <w:sz w:val="14"/>
        </w:rPr>
        <w:t>Table 2: All nine compliance microservices — each independently deployable, each sole-authored. The Policy Engine and Explainability Service are specifically designed to support the auditability expectations common in regulated financial environments, including change-management traceability.</w:t>
      </w:r>
    </w:p>
    <w:p w14:paraId="046A5F00" w14:textId="77777777" w:rsidR="00E268F9" w:rsidRDefault="00000000">
      <w:pPr>
        <w:spacing w:after="40"/>
      </w:pPr>
      <w:r>
        <w:t>All nine services use FastAPI with Pydantic validation, async request handling, and structured JSON logging. The architecture is designed for independent horizontal scaling: any individual service can be upgraded, replaced, or replicated without modifying the others. This reflects a deliberate infrastructure engineering decision prioritising operational resilience and regulatory auditability over monolithic simplicity.</w:t>
      </w:r>
    </w:p>
    <w:sectPr w:rsidR="00E268F9" w:rsidSect="00034616">
      <w:pgSz w:w="11906" w:h="16838"/>
      <w:pgMar w:top="510" w:right="879" w:bottom="510" w:left="879" w:header="720" w:footer="720" w:gutter="0"/>
      <w:cols w:space="720"/>
      <w:docGrid w:linePitch="360"/>
    </w:sectPr>
    <w:p>
      <w:r>
        <w:rPr>
          <w:b/>
          <w:sz w:val="22"/>
        </w:rPr>
        <w:t>Independent Endorsement (Letter A)</w:t>
      </w:r>
    </w:p>
    <w:p>
      <w:pPr>
        <w:spacing w:before="80" w:after="80"/>
      </w:pPr>
      <w:r>
        <w:rPr>
          <w:i/>
          <w:sz w:val="20"/>
        </w:rPr>
        <w:t>Prof. A. S. O. Ogunjuyigbe (Professor of Electrical Power &amp; Energy Conversion Systems and Provost, Postgraduate College, University of Ibadan) independently reviewed this work and noted: “In a university environment, a project of this scope would typically require a principal investigator, multiple postdoctoral researchers, and a team of PhD students. Olusegun has designed and implemented this system independently. I have reviewed the GitHub repository, and there is no evidence of external collaboration or outsourced development.” (Letter A — full text submitted as supporting reference letter.)</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277164">
    <w:abstractNumId w:val="8"/>
  </w:num>
  <w:num w:numId="2" w16cid:durableId="100612596">
    <w:abstractNumId w:val="6"/>
  </w:num>
  <w:num w:numId="3" w16cid:durableId="1279406813">
    <w:abstractNumId w:val="5"/>
  </w:num>
  <w:num w:numId="4" w16cid:durableId="163012208">
    <w:abstractNumId w:val="4"/>
  </w:num>
  <w:num w:numId="5" w16cid:durableId="1404449046">
    <w:abstractNumId w:val="7"/>
  </w:num>
  <w:num w:numId="6" w16cid:durableId="1421561218">
    <w:abstractNumId w:val="3"/>
  </w:num>
  <w:num w:numId="7" w16cid:durableId="1799644123">
    <w:abstractNumId w:val="2"/>
  </w:num>
  <w:num w:numId="8" w16cid:durableId="171920446">
    <w:abstractNumId w:val="1"/>
  </w:num>
  <w:num w:numId="9" w16cid:durableId="915169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83E95"/>
    <w:rsid w:val="00CB0664"/>
    <w:rsid w:val="00E268F9"/>
    <w:rsid w:val="00F754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9C002"/>
  <w14:defaultImageDpi w14:val="300"/>
  <w15:docId w15:val="{519EF46F-0B04-4768-A04D-2346643E4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Calibri" w:hAnsi="Calibri"/>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1177</Words>
  <Characters>6711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Israel Odeyemi</cp:lastModifiedBy>
  <cp:revision>2</cp:revision>
  <dcterms:created xsi:type="dcterms:W3CDTF">2026-05-19T12:57:00Z</dcterms:created>
  <dcterms:modified xsi:type="dcterms:W3CDTF">2026-05-19T12:57:00Z</dcterms:modified>
  <cp:category/>
</cp:coreProperties>
</file>