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</w:pPr>
      <w:r>
        <w:rPr>
          <w:b/>
          <w:color w:val="1A2A4A"/>
          <w:sz w:val="21"/>
        </w:rPr>
        <w:t>Tech Nation Visa — Global Talent (Exceptional Promise)</w:t>
      </w:r>
    </w:p>
    <w:p>
      <w:pPr>
        <w:spacing w:after="20"/>
      </w:pPr>
      <w:r>
        <w:rPr>
          <w:b/>
        </w:rPr>
        <w:t xml:space="preserve">Criteria: </w:t>
      </w:r>
      <w:r>
        <w:t>Optional Criteria 3 — Commercial and Integration Contribution</w:t>
      </w:r>
    </w:p>
    <w:p>
      <w:pPr>
        <w:spacing w:after="40"/>
      </w:pPr>
      <w:r>
        <w:rPr>
          <w:b/>
        </w:rPr>
        <w:t xml:space="preserve">Applicant: </w:t>
      </w:r>
      <w:r>
        <w:t>Odeyemi Olusegun Israel</w:t>
      </w:r>
    </w:p>
    <w:p>
      <w:pPr>
        <w:spacing w:before="0" w:after="0"/>
        <w:pBdr>
          <w:bottom w:val="single" w:sz="8" w:space="1" w:color="1a2a4a"/>
        </w:pBdr>
      </w:pPr>
    </w:p>
    <w:p>
      <w:pPr>
        <w:spacing w:before="40" w:after="80"/>
        <w:jc w:val="center"/>
      </w:pPr>
      <w:r>
        <w:rPr>
          <w:b/>
          <w:color w:val="1A2A4A"/>
          <w:sz w:val="21"/>
        </w:rPr>
        <w:t>OC3-3: SDK Distribution and Signed External Pilot Validation</w:t>
      </w:r>
    </w:p>
    <w:p>
      <w:pPr>
        <w:spacing w:before="60" w:after="20"/>
      </w:pPr>
      <w:r>
        <w:rPr>
          <w:b/>
          <w:color w:val="1A2A4A"/>
          <w:sz w:val="19"/>
        </w:rPr>
        <w:t>1. Claim</w:t>
      </w:r>
    </w:p>
    <w:p>
      <w:pPr>
        <w:spacing w:before="0" w:after="0"/>
        <w:pBdr>
          <w:bottom w:val="single" w:sz="8" w:space="1" w:color="1a2a4a"/>
        </w:pBdr>
      </w:pPr>
    </w:p>
    <w:p>
      <w:pPr>
        <w:spacing w:after="40"/>
      </w:pPr>
      <w:r>
        <w:t>I converted AMTTP from a closed project into externally integrable infrastructure by building TypeScript and Python SDKs, then obtained a signed and company-sealed pilot agreement for evaluation in a real business setting.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3"/>
        <w:gridCol w:w="3383"/>
        <w:gridCol w:w="3383"/>
      </w:tblGrid>
      <w:tr>
        <w:tc>
          <w:tcPr>
            <w:tcW w:type="dxa" w:w="2592"/>
            <w:shd w:val="clear" w:color="auto" w:fill="D9E1F2"/>
          </w:tcPr>
          <w:p>
            <w:r>
              <w:rPr>
                <w:b/>
                <w:sz w:val="15"/>
              </w:rPr>
              <w:t>Claim</w:t>
            </w:r>
          </w:p>
        </w:tc>
        <w:tc>
          <w:tcPr>
            <w:tcW w:type="dxa" w:w="3456"/>
            <w:shd w:val="clear" w:color="auto" w:fill="D9E1F2"/>
          </w:tcPr>
          <w:p>
            <w:r>
              <w:rPr>
                <w:b/>
                <w:sz w:val="15"/>
              </w:rPr>
              <w:t>Evidence</w:t>
            </w:r>
          </w:p>
        </w:tc>
        <w:tc>
          <w:tcPr>
            <w:tcW w:type="dxa" w:w="3456"/>
            <w:shd w:val="clear" w:color="auto" w:fill="D9E1F2"/>
          </w:tcPr>
          <w:p>
            <w:r>
              <w:rPr>
                <w:b/>
                <w:sz w:val="15"/>
              </w:rPr>
              <w:t>Independent verification</w:t>
            </w:r>
          </w:p>
        </w:tc>
      </w:tr>
      <w:tr>
        <w:tc>
          <w:tcPr>
            <w:tcW w:type="dxa" w:w="2592"/>
          </w:tcPr>
          <w:p>
            <w:r>
              <w:rPr>
                <w:sz w:val="15"/>
              </w:rPr>
              <w:t>SDK distribution path</w:t>
            </w:r>
          </w:p>
        </w:tc>
        <w:tc>
          <w:tcPr>
            <w:tcW w:type="dxa" w:w="3456"/>
          </w:tcPr>
          <w:p>
            <w:r>
              <w:rPr>
                <w:sz w:val="15"/>
              </w:rPr>
              <w:t>TypeScript + Python packages</w:t>
            </w:r>
          </w:p>
        </w:tc>
        <w:tc>
          <w:tcPr>
            <w:tcW w:type="dxa" w:w="3456"/>
          </w:tcPr>
          <w:p>
            <w:r>
              <w:rPr>
                <w:sz w:val="15"/>
              </w:rPr>
              <w:t>packages/client-sdk and packages/python-sdk</w:t>
            </w:r>
          </w:p>
        </w:tc>
      </w:tr>
      <w:tr>
        <w:tc>
          <w:tcPr>
            <w:tcW w:type="dxa" w:w="2592"/>
          </w:tcPr>
          <w:p>
            <w:r>
              <w:rPr>
                <w:sz w:val="15"/>
              </w:rPr>
              <w:t>Cross-chain integration</w:t>
            </w:r>
          </w:p>
        </w:tc>
        <w:tc>
          <w:tcPr>
            <w:tcW w:type="dxa" w:w="3456"/>
          </w:tcPr>
          <w:p>
            <w:r>
              <w:rPr>
                <w:sz w:val="15"/>
              </w:rPr>
              <w:t>LayerZero support across EVM networks</w:t>
            </w:r>
          </w:p>
        </w:tc>
        <w:tc>
          <w:tcPr>
            <w:tcW w:type="dxa" w:w="3456"/>
          </w:tcPr>
          <w:p>
            <w:r>
              <w:rPr>
                <w:sz w:val="15"/>
              </w:rPr>
              <w:t>AMTTPCrossChain contract + SDK</w:t>
            </w:r>
          </w:p>
        </w:tc>
      </w:tr>
      <w:tr>
        <w:tc>
          <w:tcPr>
            <w:tcW w:type="dxa" w:w="2592"/>
          </w:tcPr>
          <w:p>
            <w:r>
              <w:rPr>
                <w:sz w:val="15"/>
              </w:rPr>
              <w:t>External commercial validation</w:t>
            </w:r>
          </w:p>
        </w:tc>
        <w:tc>
          <w:tcPr>
            <w:tcW w:type="dxa" w:w="3456"/>
          </w:tcPr>
          <w:p>
            <w:r>
              <w:rPr>
                <w:sz w:val="15"/>
              </w:rPr>
              <w:t>Signed/sealed pilot agreement</w:t>
            </w:r>
          </w:p>
        </w:tc>
        <w:tc>
          <w:tcPr>
            <w:tcW w:type="dxa" w:w="3456"/>
          </w:tcPr>
          <w:p>
            <w:r>
              <w:rPr>
                <w:sz w:val="15"/>
              </w:rPr>
              <w:t>Schedule A + signature/seal exhibit</w:t>
            </w:r>
          </w:p>
        </w:tc>
      </w:tr>
      <w:tr>
        <w:tc>
          <w:tcPr>
            <w:tcW w:type="dxa" w:w="2592"/>
          </w:tcPr>
          <w:p>
            <w:r>
              <w:rPr>
                <w:sz w:val="15"/>
              </w:rPr>
              <w:t>Bounded claim</w:t>
            </w:r>
          </w:p>
        </w:tc>
        <w:tc>
          <w:tcPr>
            <w:tcW w:type="dxa" w:w="3456"/>
          </w:tcPr>
          <w:p>
            <w:r>
              <w:rPr>
                <w:sz w:val="15"/>
              </w:rPr>
              <w:t>Pilot evaluation, not revenue claim</w:t>
            </w:r>
          </w:p>
        </w:tc>
        <w:tc>
          <w:tcPr>
            <w:tcW w:type="dxa" w:w="3456"/>
          </w:tcPr>
          <w:p>
            <w:r>
              <w:rPr>
                <w:sz w:val="15"/>
              </w:rPr>
              <w:t>agreement wording and scope</w:t>
            </w:r>
          </w:p>
        </w:tc>
      </w:tr>
    </w:tbl>
    <w:p>
      <w:pPr>
        <w:spacing w:after="4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63440" cy="262318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scode_sdk_packag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63440" cy="26231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"/>
      </w:pPr>
      <w:r>
        <w:rPr>
          <w:i/>
          <w:color w:val="444444"/>
          <w:sz w:val="14"/>
        </w:rPr>
        <w:t>Figure 1: Two SDK packages exposing AMTTP to external integrators.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92040" cy="337720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lot_agreement_signe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92040" cy="33772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"/>
      </w:pPr>
      <w:r>
        <w:rPr>
          <w:i/>
          <w:color w:val="444444"/>
          <w:sz w:val="14"/>
        </w:rPr>
        <w:t>Figure 2: Schedule A pilot components and signed/sealed signature page together — external validation of evaluation scope.</w:t>
      </w:r>
    </w:p>
    <w:p>
      <w:r>
        <w:rPr>
          <w:b/>
        </w:rPr>
        <w:t xml:space="preserve">Why this matters: </w:t>
      </w:r>
      <w:r>
        <w:t>The signed/sealed pilot is the strongest commercial evidence: an external company accepted defined AMTTP components for evaluation rather than merely viewing a demo.</w:t>
      </w:r>
    </w:p>
    <w:p>
      <w:r>
        <w:rPr>
          <w:b/>
        </w:rPr>
        <w:t xml:space="preserve">Anti-loophole note: </w:t>
      </w:r>
      <w:r>
        <w:t>The claim is deliberately limited to independent pilot validation. It does not overclaim paid production deployment.</w:t>
      </w:r>
    </w:p>
    <w:sectPr w:rsidR="00FC693F" w:rsidRPr="0006063C" w:rsidSect="00034616">
      <w:pgSz w:w="11906" w:h="16838"/>
      <w:pgMar w:top="510" w:right="879" w:bottom="510" w:left="8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0"/>
    </w:pPr>
    <w:rPr>
      <w:rFonts w:ascii="Calibri" w:hAnsi="Calibri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