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Evidence Index — Criteria Mapping and Verification Anchors</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AMTTP Evidence Pack: What Each Document Proves</w:t>
      </w:r>
    </w:p>
    <w:p>
      <w:pPr>
        <w:spacing w:before="100" w:after="40"/>
      </w:pPr>
      <w:r>
        <w:rPr>
          <w:b/>
          <w:color w:val="1A2A4A"/>
          <w:sz w:val="23"/>
        </w:rPr>
        <w:t>1. Criteria Map</w:t>
      </w:r>
    </w:p>
    <w:p>
      <w:pPr>
        <w:spacing w:before="0" w:after="0"/>
        <w:pBdr>
          <w:bottom w:val="single" w:sz="8" w:space="1" w:color="1a2a4a"/>
        </w:pBdr>
      </w:pPr>
    </w:p>
    <w:p>
      <w:pPr>
        <w:spacing w:after="40"/>
      </w:pPr>
      <w:r>
        <w:t>This index is not a substitute for the evidence documents. It is a navigation layer for the assessor: each row states the criterion, the submitted evidence, the claim being proved, and the independent verification anchor. It is included to reduce ambiguity and prevent the technical exhibits from being read as isolated screenshots.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008"/>
            <w:shd w:val="clear" w:color="auto" w:fill="D9E1F2"/>
          </w:tcPr>
          <w:p>
            <w:r>
              <w:rPr>
                <w:b/>
                <w:sz w:val="19"/>
              </w:rPr>
              <w:t>Criterion</w:t>
            </w:r>
          </w:p>
        </w:tc>
        <w:tc>
          <w:tcPr>
            <w:tcW w:type="dxa" w:w="2592"/>
            <w:shd w:val="clear" w:color="auto" w:fill="D9E1F2"/>
          </w:tcPr>
          <w:p>
            <w:r>
              <w:rPr>
                <w:b/>
                <w:sz w:val="19"/>
              </w:rPr>
              <w:t>Evidence</w:t>
            </w:r>
          </w:p>
        </w:tc>
        <w:tc>
          <w:tcPr>
            <w:tcW w:type="dxa" w:w="3744"/>
            <w:shd w:val="clear" w:color="auto" w:fill="D9E1F2"/>
          </w:tcPr>
          <w:p>
            <w:r>
              <w:rPr>
                <w:b/>
                <w:sz w:val="19"/>
              </w:rPr>
              <w:t>What it proves</w:t>
            </w:r>
          </w:p>
        </w:tc>
        <w:tc>
          <w:tcPr>
            <w:tcW w:type="dxa" w:w="2880"/>
            <w:shd w:val="clear" w:color="auto" w:fill="D9E1F2"/>
          </w:tcPr>
          <w:p>
            <w:r>
              <w:rPr>
                <w:b/>
                <w:sz w:val="19"/>
              </w:rPr>
              <w:t>Verification anchor</w:t>
            </w:r>
          </w:p>
        </w:tc>
      </w:tr>
      <w:tr>
        <w:tc>
          <w:tcPr>
            <w:tcW w:type="dxa" w:w="1008"/>
          </w:tcPr>
          <w:p>
            <w:r>
              <w:rPr>
                <w:sz w:val="19"/>
              </w:rPr>
              <w:t>MC</w:t>
            </w:r>
          </w:p>
        </w:tc>
        <w:tc>
          <w:tcPr>
            <w:tcW w:type="dxa" w:w="2592"/>
          </w:tcPr>
          <w:p>
            <w:r>
              <w:rPr>
                <w:sz w:val="19"/>
              </w:rPr>
              <w:t>MC-1 Live Demonstration</w:t>
            </w:r>
          </w:p>
        </w:tc>
        <w:tc>
          <w:tcPr>
            <w:tcW w:type="dxa" w:w="3744"/>
          </w:tcPr>
          <w:p>
            <w:r>
              <w:rPr>
                <w:sz w:val="19"/>
              </w:rPr>
              <w:t>Original digital product publicly deployed and operated</w:t>
            </w:r>
          </w:p>
        </w:tc>
        <w:tc>
          <w:tcPr>
            <w:tcW w:type="dxa" w:w="2880"/>
          </w:tcPr>
          <w:p>
            <w:r>
              <w:rPr>
                <w:sz w:val="19"/>
              </w:rPr>
              <w:t>amttp.com, Cloudflare analytics, YouTube demo</w:t>
            </w:r>
          </w:p>
        </w:tc>
      </w:tr>
      <w:tr>
        <w:tc>
          <w:tcPr>
            <w:tcW w:type="dxa" w:w="1008"/>
          </w:tcPr>
          <w:p>
            <w:r>
              <w:rPr>
                <w:sz w:val="19"/>
              </w:rPr>
              <w:t>MC</w:t>
            </w:r>
          </w:p>
        </w:tc>
        <w:tc>
          <w:tcPr>
            <w:tcW w:type="dxa" w:w="2592"/>
          </w:tcPr>
          <w:p>
            <w:r>
              <w:rPr>
                <w:sz w:val="19"/>
              </w:rPr>
              <w:t>MC-2 GitHub Contributions</w:t>
            </w:r>
          </w:p>
        </w:tc>
        <w:tc>
          <w:tcPr>
            <w:tcW w:type="dxa" w:w="3744"/>
          </w:tcPr>
          <w:p>
            <w:r>
              <w:rPr>
                <w:sz w:val="19"/>
              </w:rPr>
              <w:t>Sustained sole-authored engineering across stack</w:t>
            </w:r>
          </w:p>
        </w:tc>
        <w:tc>
          <w:tcPr>
            <w:tcW w:type="dxa" w:w="2880"/>
          </w:tcPr>
          <w:p>
            <w:r>
              <w:rPr>
                <w:sz w:val="19"/>
              </w:rPr>
              <w:t>github.com/segetii/AMTTP, commit history</w:t>
            </w:r>
          </w:p>
        </w:tc>
      </w:tr>
      <w:tr>
        <w:tc>
          <w:tcPr>
            <w:tcW w:type="dxa" w:w="1008"/>
          </w:tcPr>
          <w:p>
            <w:r>
              <w:rPr>
                <w:sz w:val="19"/>
              </w:rPr>
              <w:t>MC</w:t>
            </w:r>
          </w:p>
        </w:tc>
        <w:tc>
          <w:tcPr>
            <w:tcW w:type="dxa" w:w="2592"/>
          </w:tcPr>
          <w:p>
            <w:r>
              <w:rPr>
                <w:sz w:val="19"/>
              </w:rPr>
              <w:t>MC-3 Smart Contracts</w:t>
            </w:r>
          </w:p>
        </w:tc>
        <w:tc>
          <w:tcPr>
            <w:tcW w:type="dxa" w:w="3744"/>
          </w:tcPr>
          <w:p>
            <w:r>
              <w:rPr>
                <w:sz w:val="19"/>
              </w:rPr>
              <w:t>On-chain enforcement architecture and deployment authorship</w:t>
            </w:r>
          </w:p>
        </w:tc>
        <w:tc>
          <w:tcPr>
            <w:tcW w:type="dxa" w:w="2880"/>
          </w:tcPr>
          <w:p>
            <w:r>
              <w:rPr>
                <w:sz w:val="19"/>
              </w:rPr>
              <w:t>Sepolia Etherscan addresses, Hardhat tests</w:t>
            </w:r>
          </w:p>
        </w:tc>
      </w:tr>
      <w:tr>
        <w:tc>
          <w:tcPr>
            <w:tcW w:type="dxa" w:w="1008"/>
          </w:tcPr>
          <w:p>
            <w:r>
              <w:rPr>
                <w:sz w:val="19"/>
              </w:rPr>
              <w:t>OC3</w:t>
            </w:r>
          </w:p>
        </w:tc>
        <w:tc>
          <w:tcPr>
            <w:tcW w:type="dxa" w:w="2592"/>
          </w:tcPr>
          <w:p>
            <w:r>
              <w:rPr>
                <w:sz w:val="19"/>
              </w:rPr>
              <w:t>OC3-1 ML Pipeline</w:t>
            </w:r>
          </w:p>
        </w:tc>
        <w:tc>
          <w:tcPr>
            <w:tcW w:type="dxa" w:w="3744"/>
          </w:tcPr>
          <w:p>
            <w:r>
              <w:rPr>
                <w:sz w:val="19"/>
              </w:rPr>
              <w:t>Significant technical contribution: ML + graph + rules risk engine</w:t>
            </w:r>
          </w:p>
        </w:tc>
        <w:tc>
          <w:tcPr>
            <w:tcW w:type="dxa" w:w="2880"/>
          </w:tcPr>
          <w:p>
            <w:r>
              <w:rPr>
                <w:sz w:val="19"/>
              </w:rPr>
              <w:t>benchmark outputs, public scripts, Docker services</w:t>
            </w:r>
          </w:p>
        </w:tc>
      </w:tr>
      <w:tr>
        <w:tc>
          <w:tcPr>
            <w:tcW w:type="dxa" w:w="1008"/>
          </w:tcPr>
          <w:p>
            <w:r>
              <w:rPr>
                <w:sz w:val="19"/>
              </w:rPr>
              <w:t>OC3</w:t>
            </w:r>
          </w:p>
        </w:tc>
        <w:tc>
          <w:tcPr>
            <w:tcW w:type="dxa" w:w="2592"/>
          </w:tcPr>
          <w:p>
            <w:r>
              <w:rPr>
                <w:sz w:val="19"/>
              </w:rPr>
              <w:t>OC3-2 War Room + Flutter</w:t>
            </w:r>
          </w:p>
        </w:tc>
        <w:tc>
          <w:tcPr>
            <w:tcW w:type="dxa" w:w="3744"/>
          </w:tcPr>
          <w:p>
            <w:r>
              <w:rPr>
                <w:sz w:val="19"/>
              </w:rPr>
              <w:t>Product contribution: institutional and consumer compliance interfaces</w:t>
            </w:r>
          </w:p>
        </w:tc>
        <w:tc>
          <w:tcPr>
            <w:tcW w:type="dxa" w:w="2880"/>
          </w:tcPr>
          <w:p>
            <w:r>
              <w:rPr>
                <w:sz w:val="19"/>
              </w:rPr>
              <w:t>Next.js/Flutter screenshots, RBAC config</w:t>
            </w:r>
          </w:p>
        </w:tc>
      </w:tr>
      <w:tr>
        <w:tc>
          <w:tcPr>
            <w:tcW w:type="dxa" w:w="1008"/>
          </w:tcPr>
          <w:p>
            <w:r>
              <w:rPr>
                <w:sz w:val="19"/>
              </w:rPr>
              <w:t>OC3</w:t>
            </w:r>
          </w:p>
        </w:tc>
        <w:tc>
          <w:tcPr>
            <w:tcW w:type="dxa" w:w="2592"/>
          </w:tcPr>
          <w:p>
            <w:r>
              <w:rPr>
                <w:sz w:val="19"/>
              </w:rPr>
              <w:t>OC3-3 SDK + Pilot Agreement</w:t>
            </w:r>
          </w:p>
        </w:tc>
        <w:tc>
          <w:tcPr>
            <w:tcW w:type="dxa" w:w="3744"/>
          </w:tcPr>
          <w:p>
            <w:r>
              <w:rPr>
                <w:sz w:val="19"/>
              </w:rPr>
              <w:t>External integration path and commercial pilot validation</w:t>
            </w:r>
          </w:p>
        </w:tc>
        <w:tc>
          <w:tcPr>
            <w:tcW w:type="dxa" w:w="2880"/>
          </w:tcPr>
          <w:p>
            <w:r>
              <w:rPr>
                <w:sz w:val="19"/>
              </w:rPr>
              <w:t>signed/sealed Schedule A and signature exhibit</w:t>
            </w:r>
          </w:p>
        </w:tc>
      </w:tr>
      <w:tr>
        <w:tc>
          <w:tcPr>
            <w:tcW w:type="dxa" w:w="1008"/>
          </w:tcPr>
          <w:p>
            <w:r>
              <w:rPr>
                <w:sz w:val="19"/>
              </w:rPr>
              <w:t>OC3</w:t>
            </w:r>
          </w:p>
        </w:tc>
        <w:tc>
          <w:tcPr>
            <w:tcW w:type="dxa" w:w="2592"/>
          </w:tcPr>
          <w:p>
            <w:r>
              <w:rPr>
                <w:sz w:val="19"/>
              </w:rPr>
              <w:t>OC3-4 Security Auditing</w:t>
            </w:r>
          </w:p>
        </w:tc>
        <w:tc>
          <w:tcPr>
            <w:tcW w:type="dxa" w:w="3744"/>
          </w:tcPr>
          <w:p>
            <w:r>
              <w:rPr>
                <w:sz w:val="19"/>
              </w:rPr>
              <w:t>Production maturity: static analysis, fuzzing, gas validation</w:t>
            </w:r>
          </w:p>
        </w:tc>
        <w:tc>
          <w:tcPr>
            <w:tcW w:type="dxa" w:w="2880"/>
          </w:tcPr>
          <w:p>
            <w:r>
              <w:rPr>
                <w:sz w:val="19"/>
              </w:rPr>
              <w:t>Slither, Echidna, Hardhat reports</w:t>
            </w:r>
          </w:p>
        </w:tc>
      </w:tr>
      <w:tr>
        <w:tc>
          <w:tcPr>
            <w:tcW w:type="dxa" w:w="1008"/>
          </w:tcPr>
          <w:p>
            <w:r>
              <w:rPr>
                <w:sz w:val="19"/>
              </w:rPr>
              <w:t>OC4</w:t>
            </w:r>
          </w:p>
        </w:tc>
        <w:tc>
          <w:tcPr>
            <w:tcW w:type="dxa" w:w="2592"/>
          </w:tcPr>
          <w:p>
            <w:r>
              <w:rPr>
                <w:sz w:val="19"/>
              </w:rPr>
              <w:t>OC4-1 BSDT Research</w:t>
            </w:r>
          </w:p>
        </w:tc>
        <w:tc>
          <w:tcPr>
            <w:tcW w:type="dxa" w:w="3744"/>
          </w:tcPr>
          <w:p>
            <w:r>
              <w:rPr>
                <w:sz w:val="19"/>
              </w:rPr>
              <w:t>Research contribution with reproducible cross-domain results</w:t>
            </w:r>
          </w:p>
        </w:tc>
        <w:tc>
          <w:tcPr>
            <w:tcW w:type="dxa" w:w="2880"/>
          </w:tcPr>
          <w:p>
            <w:r>
              <w:rPr>
                <w:sz w:val="19"/>
              </w:rPr>
              <w:t>public benchmark scripts and results</w:t>
            </w:r>
          </w:p>
        </w:tc>
      </w:tr>
      <w:tr>
        <w:tc>
          <w:tcPr>
            <w:tcW w:type="dxa" w:w="1008"/>
          </w:tcPr>
          <w:p>
            <w:r>
              <w:rPr>
                <w:sz w:val="19"/>
              </w:rPr>
              <w:t>OC4</w:t>
            </w:r>
          </w:p>
        </w:tc>
        <w:tc>
          <w:tcPr>
            <w:tcW w:type="dxa" w:w="2592"/>
          </w:tcPr>
          <w:p>
            <w:r>
              <w:rPr>
                <w:sz w:val="19"/>
              </w:rPr>
              <w:t>OC4-2 Publications</w:t>
            </w:r>
          </w:p>
        </w:tc>
        <w:tc>
          <w:tcPr>
            <w:tcW w:type="dxa" w:w="3744"/>
          </w:tcPr>
          <w:p>
            <w:r>
              <w:rPr>
                <w:sz w:val="19"/>
              </w:rPr>
              <w:t>Public research dissemination with DOI metrics</w:t>
            </w:r>
          </w:p>
        </w:tc>
        <w:tc>
          <w:tcPr>
            <w:tcW w:type="dxa" w:w="2880"/>
          </w:tcPr>
          <w:p>
            <w:r>
              <w:rPr>
                <w:sz w:val="19"/>
              </w:rPr>
              <w:t>TechRxiv/Zenodo DOI pages</w:t>
            </w:r>
          </w:p>
        </w:tc>
      </w:tr>
      <w:tr>
        <w:tc>
          <w:tcPr>
            <w:tcW w:type="dxa" w:w="1008"/>
          </w:tcPr>
          <w:p>
            <w:r>
              <w:rPr>
                <w:sz w:val="19"/>
              </w:rPr>
              <w:t>OC4</w:t>
            </w:r>
          </w:p>
        </w:tc>
        <w:tc>
          <w:tcPr>
            <w:tcW w:type="dxa" w:w="2592"/>
          </w:tcPr>
          <w:p>
            <w:r>
              <w:rPr>
                <w:sz w:val="19"/>
              </w:rPr>
              <w:t>OC4-3 Academic Adoption</w:t>
            </w:r>
          </w:p>
        </w:tc>
        <w:tc>
          <w:tcPr>
            <w:tcW w:type="dxa" w:w="3744"/>
          </w:tcPr>
          <w:p>
            <w:r>
              <w:rPr>
                <w:sz w:val="19"/>
              </w:rPr>
              <w:t>Independent academic uptake by named senior academic</w:t>
            </w:r>
          </w:p>
        </w:tc>
        <w:tc>
          <w:tcPr>
            <w:tcW w:type="dxa" w:w="2880"/>
          </w:tcPr>
          <w:p>
            <w:r>
              <w:rPr>
                <w:sz w:val="19"/>
              </w:rPr>
              <w:t>CPE 604 slides + Dr Ajagbe letter</w:t>
            </w:r>
          </w:p>
        </w:tc>
      </w:tr>
    </w:tbl>
    <w:p>
      <w:pPr>
        <w:spacing w:after="40"/>
      </w:pPr>
    </w:p>
    <w:p>
      <w:pPr>
        <w:spacing w:before="100" w:after="40"/>
      </w:pPr>
      <w:r>
        <w:rPr>
          <w:b/>
          <w:color w:val="1A2A4A"/>
          <w:sz w:val="23"/>
        </w:rPr>
        <w:t>2. AMTTP Feature Coverage</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3099"/>
        <w:gridCol w:w="3099"/>
        <w:gridCol w:w="3099"/>
      </w:tblGrid>
      <w:tr>
        <w:tc>
          <w:tcPr>
            <w:tcW w:type="dxa" w:w="3744"/>
            <w:shd w:val="clear" w:color="auto" w:fill="D9E1F2"/>
          </w:tcPr>
          <w:p>
            <w:r>
              <w:rPr>
                <w:b/>
                <w:sz w:val="19"/>
              </w:rPr>
              <w:t>AMTTP feature</w:t>
            </w:r>
          </w:p>
        </w:tc>
        <w:tc>
          <w:tcPr>
            <w:tcW w:type="dxa" w:w="3024"/>
            <w:shd w:val="clear" w:color="auto" w:fill="D9E1F2"/>
          </w:tcPr>
          <w:p>
            <w:r>
              <w:rPr>
                <w:b/>
                <w:sz w:val="19"/>
              </w:rPr>
              <w:t>Primary evidence</w:t>
            </w:r>
          </w:p>
        </w:tc>
        <w:tc>
          <w:tcPr>
            <w:tcW w:type="dxa" w:w="2160"/>
            <w:shd w:val="clear" w:color="auto" w:fill="D9E1F2"/>
          </w:tcPr>
          <w:p>
            <w:r>
              <w:rPr>
                <w:b/>
                <w:sz w:val="19"/>
              </w:rPr>
              <w:t>Coverage</w:t>
            </w:r>
          </w:p>
        </w:tc>
      </w:tr>
      <w:tr>
        <w:tc>
          <w:tcPr>
            <w:tcW w:type="dxa" w:w="3744"/>
          </w:tcPr>
          <w:p>
            <w:r>
              <w:rPr>
                <w:sz w:val="19"/>
              </w:rPr>
              <w:t>Pre-settlement AML enforcement</w:t>
            </w:r>
          </w:p>
        </w:tc>
        <w:tc>
          <w:tcPr>
            <w:tcW w:type="dxa" w:w="3024"/>
          </w:tcPr>
          <w:p>
            <w:r>
              <w:rPr>
                <w:sz w:val="19"/>
              </w:rPr>
              <w:t>MC-1, MC-3, OC3-1</w:t>
            </w:r>
          </w:p>
        </w:tc>
        <w:tc>
          <w:tcPr>
            <w:tcW w:type="dxa" w:w="2160"/>
          </w:tcPr>
          <w:p>
            <w:r>
              <w:rPr>
                <w:sz w:val="19"/>
              </w:rPr>
              <w:t>Covered</w:t>
            </w:r>
          </w:p>
        </w:tc>
      </w:tr>
      <w:tr>
        <w:tc>
          <w:tcPr>
            <w:tcW w:type="dxa" w:w="3744"/>
          </w:tcPr>
          <w:p>
            <w:r>
              <w:rPr>
                <w:sz w:val="19"/>
              </w:rPr>
              <w:t>Approve / Review / Escrow / Block decisions</w:t>
            </w:r>
          </w:p>
        </w:tc>
        <w:tc>
          <w:tcPr>
            <w:tcW w:type="dxa" w:w="3024"/>
          </w:tcPr>
          <w:p>
            <w:r>
              <w:rPr>
                <w:sz w:val="19"/>
              </w:rPr>
              <w:t>MC-3, OC3-1</w:t>
            </w:r>
          </w:p>
        </w:tc>
        <w:tc>
          <w:tcPr>
            <w:tcW w:type="dxa" w:w="2160"/>
          </w:tcPr>
          <w:p>
            <w:r>
              <w:rPr>
                <w:sz w:val="19"/>
              </w:rPr>
              <w:t>Covered</w:t>
            </w:r>
          </w:p>
        </w:tc>
      </w:tr>
      <w:tr>
        <w:tc>
          <w:tcPr>
            <w:tcW w:type="dxa" w:w="3744"/>
          </w:tcPr>
          <w:p>
            <w:r>
              <w:rPr>
                <w:sz w:val="19"/>
              </w:rPr>
              <w:t>Hybrid ML + graph + rules scoring</w:t>
            </w:r>
          </w:p>
        </w:tc>
        <w:tc>
          <w:tcPr>
            <w:tcW w:type="dxa" w:w="3024"/>
          </w:tcPr>
          <w:p>
            <w:r>
              <w:rPr>
                <w:sz w:val="19"/>
              </w:rPr>
              <w:t>OC3-1</w:t>
            </w:r>
          </w:p>
        </w:tc>
        <w:tc>
          <w:tcPr>
            <w:tcW w:type="dxa" w:w="2160"/>
          </w:tcPr>
          <w:p>
            <w:r>
              <w:rPr>
                <w:sz w:val="19"/>
              </w:rPr>
              <w:t>Covered</w:t>
            </w:r>
          </w:p>
        </w:tc>
      </w:tr>
      <w:tr>
        <w:tc>
          <w:tcPr>
            <w:tcW w:type="dxa" w:w="3744"/>
          </w:tcPr>
          <w:p>
            <w:r>
              <w:rPr>
                <w:sz w:val="19"/>
              </w:rPr>
              <w:t>Zero-knowledge compliance proofs</w:t>
            </w:r>
          </w:p>
        </w:tc>
        <w:tc>
          <w:tcPr>
            <w:tcW w:type="dxa" w:w="3024"/>
          </w:tcPr>
          <w:p>
            <w:r>
              <w:rPr>
                <w:sz w:val="19"/>
              </w:rPr>
              <w:t>MC-3 §7</w:t>
            </w:r>
          </w:p>
        </w:tc>
        <w:tc>
          <w:tcPr>
            <w:tcW w:type="dxa" w:w="2160"/>
          </w:tcPr>
          <w:p>
            <w:r>
              <w:rPr>
                <w:sz w:val="19"/>
              </w:rPr>
              <w:t>Covered</w:t>
            </w:r>
          </w:p>
        </w:tc>
      </w:tr>
      <w:tr>
        <w:tc>
          <w:tcPr>
            <w:tcW w:type="dxa" w:w="3744"/>
          </w:tcPr>
          <w:p>
            <w:r>
              <w:rPr>
                <w:sz w:val="19"/>
              </w:rPr>
              <w:t>Upgradeable UUPS enforcement contracts</w:t>
            </w:r>
          </w:p>
        </w:tc>
        <w:tc>
          <w:tcPr>
            <w:tcW w:type="dxa" w:w="3024"/>
          </w:tcPr>
          <w:p>
            <w:r>
              <w:rPr>
                <w:sz w:val="19"/>
              </w:rPr>
              <w:t>MC-3 §5</w:t>
            </w:r>
          </w:p>
        </w:tc>
        <w:tc>
          <w:tcPr>
            <w:tcW w:type="dxa" w:w="2160"/>
          </w:tcPr>
          <w:p>
            <w:r>
              <w:rPr>
                <w:sz w:val="19"/>
              </w:rPr>
              <w:t>Covered</w:t>
            </w:r>
          </w:p>
        </w:tc>
      </w:tr>
      <w:tr>
        <w:tc>
          <w:tcPr>
            <w:tcW w:type="dxa" w:w="3744"/>
          </w:tcPr>
          <w:p>
            <w:r>
              <w:rPr>
                <w:sz w:val="19"/>
              </w:rPr>
              <w:t>Cross-chain LayerZero support</w:t>
            </w:r>
          </w:p>
        </w:tc>
        <w:tc>
          <w:tcPr>
            <w:tcW w:type="dxa" w:w="3024"/>
          </w:tcPr>
          <w:p>
            <w:r>
              <w:rPr>
                <w:sz w:val="19"/>
              </w:rPr>
              <w:t>OC3-3</w:t>
            </w:r>
          </w:p>
        </w:tc>
        <w:tc>
          <w:tcPr>
            <w:tcW w:type="dxa" w:w="2160"/>
          </w:tcPr>
          <w:p>
            <w:r>
              <w:rPr>
                <w:sz w:val="19"/>
              </w:rPr>
              <w:t>Covered</w:t>
            </w:r>
          </w:p>
        </w:tc>
      </w:tr>
      <w:tr>
        <w:tc>
          <w:tcPr>
            <w:tcW w:type="dxa" w:w="3744"/>
          </w:tcPr>
          <w:p>
            <w:r>
              <w:rPr>
                <w:sz w:val="19"/>
              </w:rPr>
              <w:t>Kleros-style dispute resolution</w:t>
            </w:r>
          </w:p>
        </w:tc>
        <w:tc>
          <w:tcPr>
            <w:tcW w:type="dxa" w:w="3024"/>
          </w:tcPr>
          <w:p>
            <w:r>
              <w:rPr>
                <w:sz w:val="19"/>
              </w:rPr>
              <w:t>MC-3 §6</w:t>
            </w:r>
          </w:p>
        </w:tc>
        <w:tc>
          <w:tcPr>
            <w:tcW w:type="dxa" w:w="2160"/>
          </w:tcPr>
          <w:p>
            <w:r>
              <w:rPr>
                <w:sz w:val="19"/>
              </w:rPr>
              <w:t>Covered after upgrade</w:t>
            </w:r>
          </w:p>
        </w:tc>
      </w:tr>
      <w:tr>
        <w:tc>
          <w:tcPr>
            <w:tcW w:type="dxa" w:w="3744"/>
          </w:tcPr>
          <w:p>
            <w:r>
              <w:rPr>
                <w:sz w:val="19"/>
              </w:rPr>
              <w:t>Flutter consumer app + Next.js War Room</w:t>
            </w:r>
          </w:p>
        </w:tc>
        <w:tc>
          <w:tcPr>
            <w:tcW w:type="dxa" w:w="3024"/>
          </w:tcPr>
          <w:p>
            <w:r>
              <w:rPr>
                <w:sz w:val="19"/>
              </w:rPr>
              <w:t>OC3-2</w:t>
            </w:r>
          </w:p>
        </w:tc>
        <w:tc>
          <w:tcPr>
            <w:tcW w:type="dxa" w:w="2160"/>
          </w:tcPr>
          <w:p>
            <w:r>
              <w:rPr>
                <w:sz w:val="19"/>
              </w:rPr>
              <w:t>Covered</w:t>
            </w:r>
          </w:p>
        </w:tc>
      </w:tr>
      <w:tr>
        <w:tc>
          <w:tcPr>
            <w:tcW w:type="dxa" w:w="3744"/>
          </w:tcPr>
          <w:p>
            <w:r>
              <w:rPr>
                <w:sz w:val="19"/>
              </w:rPr>
              <w:t>Six-level RBAC</w:t>
            </w:r>
          </w:p>
        </w:tc>
        <w:tc>
          <w:tcPr>
            <w:tcW w:type="dxa" w:w="3024"/>
          </w:tcPr>
          <w:p>
            <w:r>
              <w:rPr>
                <w:sz w:val="19"/>
              </w:rPr>
              <w:t>OC3-2 §3</w:t>
            </w:r>
          </w:p>
        </w:tc>
        <w:tc>
          <w:tcPr>
            <w:tcW w:type="dxa" w:w="2160"/>
          </w:tcPr>
          <w:p>
            <w:r>
              <w:rPr>
                <w:sz w:val="19"/>
              </w:rPr>
              <w:t>Covered</w:t>
            </w:r>
          </w:p>
        </w:tc>
      </w:tr>
      <w:tr>
        <w:tc>
          <w:tcPr>
            <w:tcW w:type="dxa" w:w="3744"/>
          </w:tcPr>
          <w:p>
            <w:r>
              <w:rPr>
                <w:sz w:val="19"/>
              </w:rPr>
              <w:t>Explainable AI</w:t>
            </w:r>
          </w:p>
        </w:tc>
        <w:tc>
          <w:tcPr>
            <w:tcW w:type="dxa" w:w="3024"/>
          </w:tcPr>
          <w:p>
            <w:r>
              <w:rPr>
                <w:sz w:val="19"/>
              </w:rPr>
              <w:t>OC3-2 §4, OC3-1</w:t>
            </w:r>
          </w:p>
        </w:tc>
        <w:tc>
          <w:tcPr>
            <w:tcW w:type="dxa" w:w="2160"/>
          </w:tcPr>
          <w:p>
            <w:r>
              <w:rPr>
                <w:sz w:val="19"/>
              </w:rPr>
              <w:t>Covered</w:t>
            </w:r>
          </w:p>
        </w:tc>
      </w:tr>
      <w:tr>
        <w:tc>
          <w:tcPr>
            <w:tcW w:type="dxa" w:w="3744"/>
          </w:tcPr>
          <w:p>
            <w:r>
              <w:rPr>
                <w:sz w:val="19"/>
              </w:rPr>
              <w:t>Sanctions, KYC, PEP, georisk, monitoring services</w:t>
            </w:r>
          </w:p>
        </w:tc>
        <w:tc>
          <w:tcPr>
            <w:tcW w:type="dxa" w:w="3024"/>
          </w:tcPr>
          <w:p>
            <w:r>
              <w:rPr>
                <w:sz w:val="19"/>
              </w:rPr>
              <w:t>OC3-1 §4</w:t>
            </w:r>
          </w:p>
        </w:tc>
        <w:tc>
          <w:tcPr>
            <w:tcW w:type="dxa" w:w="2160"/>
          </w:tcPr>
          <w:p>
            <w:r>
              <w:rPr>
                <w:sz w:val="19"/>
              </w:rPr>
              <w:t>Covered</w:t>
            </w:r>
          </w:p>
        </w:tc>
      </w:tr>
      <w:tr>
        <w:tc>
          <w:tcPr>
            <w:tcW w:type="dxa" w:w="3744"/>
          </w:tcPr>
          <w:p>
            <w:r>
              <w:rPr>
                <w:sz w:val="19"/>
              </w:rPr>
              <w:t>SDKs for external integration</w:t>
            </w:r>
          </w:p>
        </w:tc>
        <w:tc>
          <w:tcPr>
            <w:tcW w:type="dxa" w:w="3024"/>
          </w:tcPr>
          <w:p>
            <w:r>
              <w:rPr>
                <w:sz w:val="19"/>
              </w:rPr>
              <w:t>OC3-3 §2</w:t>
            </w:r>
          </w:p>
        </w:tc>
        <w:tc>
          <w:tcPr>
            <w:tcW w:type="dxa" w:w="2160"/>
          </w:tcPr>
          <w:p>
            <w:r>
              <w:rPr>
                <w:sz w:val="19"/>
              </w:rPr>
              <w:t>Covered</w:t>
            </w:r>
          </w:p>
        </w:tc>
      </w:tr>
      <w:tr>
        <w:tc>
          <w:tcPr>
            <w:tcW w:type="dxa" w:w="3744"/>
          </w:tcPr>
          <w:p>
            <w:r>
              <w:rPr>
                <w:sz w:val="19"/>
              </w:rPr>
              <w:t>Cloudflare/nginx-secured deployment</w:t>
            </w:r>
          </w:p>
        </w:tc>
        <w:tc>
          <w:tcPr>
            <w:tcW w:type="dxa" w:w="3024"/>
          </w:tcPr>
          <w:p>
            <w:r>
              <w:rPr>
                <w:sz w:val="19"/>
              </w:rPr>
              <w:t>MC-1, OC3-4</w:t>
            </w:r>
          </w:p>
        </w:tc>
        <w:tc>
          <w:tcPr>
            <w:tcW w:type="dxa" w:w="2160"/>
          </w:tcPr>
          <w:p>
            <w:r>
              <w:rPr>
                <w:sz w:val="19"/>
              </w:rPr>
              <w:t>Covered</w:t>
            </w:r>
          </w:p>
        </w:tc>
      </w:tr>
      <w:tr>
        <w:tc>
          <w:tcPr>
            <w:tcW w:type="dxa" w:w="3744"/>
          </w:tcPr>
          <w:p>
            <w:r>
              <w:rPr>
                <w:sz w:val="19"/>
              </w:rPr>
              <w:t>Auditability / immutable evidence storage</w:t>
            </w:r>
          </w:p>
        </w:tc>
        <w:tc>
          <w:tcPr>
            <w:tcW w:type="dxa" w:w="3024"/>
          </w:tcPr>
          <w:p>
            <w:r>
              <w:rPr>
                <w:sz w:val="19"/>
              </w:rPr>
              <w:t>OC3-2, OC3-4, MC-3</w:t>
            </w:r>
          </w:p>
        </w:tc>
        <w:tc>
          <w:tcPr>
            <w:tcW w:type="dxa" w:w="2160"/>
          </w:tcPr>
          <w:p>
            <w:r>
              <w:rPr>
                <w:sz w:val="19"/>
              </w:rPr>
              <w:t>Covered</w:t>
            </w:r>
          </w:p>
        </w:tc>
      </w:tr>
    </w:tbl>
    <w:p>
      <w:pPr>
        <w:spacing w:after="40"/>
      </w:pPr>
    </w:p>
    <w:p>
      <w:pPr>
        <w:spacing w:before="100" w:after="40"/>
      </w:pPr>
      <w:r>
        <w:rPr>
          <w:b/>
          <w:color w:val="1A2A4A"/>
          <w:sz w:val="23"/>
        </w:rPr>
        <w:t>3. Risk Controls Added in the Upgraded Pack</w:t>
      </w:r>
    </w:p>
    <w:p>
      <w:pPr>
        <w:spacing w:before="0" w:after="0"/>
        <w:pBdr>
          <w:bottom w:val="single" w:sz="8" w:space="1" w:color="1a2a4a"/>
        </w:pBdr>
      </w:pPr>
    </w:p>
    <w:p>
      <w:pPr>
        <w:pStyle w:val="ListBullet"/>
        <w:spacing w:after="40"/>
      </w:pPr>
      <w:r/>
      <w:r>
        <w:rPr>
          <w:b/>
        </w:rPr>
        <w:t>External validation separated from technical complexity:</w:t>
      </w:r>
      <w:r>
        <w:t xml:space="preserve"> OC3-3 now frames the pilot agreement as pilot-stage commercial validation, not overclaimed production adoption.</w:t>
      </w:r>
    </w:p>
    <w:p>
      <w:pPr>
        <w:pStyle w:val="ListBullet"/>
        <w:spacing w:after="40"/>
      </w:pPr>
      <w:r/>
      <w:r>
        <w:rPr>
          <w:b/>
        </w:rPr>
        <w:t>Kleros/dispute feature no longer implicit:</w:t>
      </w:r>
      <w:r>
        <w:t xml:space="preserve"> MC-3 now has a dedicated dispute-resolution and evidence-escrow section.</w:t>
      </w:r>
    </w:p>
    <w:p>
      <w:pPr>
        <w:pStyle w:val="ListBullet"/>
        <w:spacing w:after="40"/>
      </w:pPr>
      <w:r/>
      <w:r>
        <w:rPr>
          <w:b/>
        </w:rPr>
        <w:t>Academic claim bounded accurately:</w:t>
      </w:r>
      <w:r>
        <w:t xml:space="preserve"> OC4-2 states that DOI/preprint evidence is not being claimed as journal peer review; OC4-3 supplies the independent adoption proof.</w:t>
      </w:r>
    </w:p>
    <w:p>
      <w:pPr>
        <w:pStyle w:val="ListBullet"/>
        <w:spacing w:after="40"/>
      </w:pPr>
      <w:r/>
      <w:r>
        <w:rPr>
          <w:b/>
        </w:rPr>
        <w:t>Verification anchors made explicit:</w:t>
      </w:r>
      <w:r>
        <w:t xml:space="preserve"> each document is mapped to public URLs, addresses, DOIs, signed letters, or reproducible scripts.</w:t>
      </w:r>
    </w:p>
    <w:p>
      <w:pPr>
        <w:pStyle w:val="ListBullet"/>
        <w:spacing w:after="40"/>
      </w:pPr>
      <w:r/>
      <w:r>
        <w:rPr>
          <w:b/>
        </w:rPr>
        <w:t>Assessor navigation improved:</w:t>
      </w:r>
      <w:r>
        <w:t xml:space="preserve"> this index tells the reviewer exactly which document supports which criterion and which feature.</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