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E23B" w14:textId="77777777" w:rsidR="00155767" w:rsidRDefault="00000000">
      <w:pPr>
        <w:spacing w:after="40"/>
      </w:pPr>
      <w:r>
        <w:rPr>
          <w:b/>
          <w:color w:val="1A2A4A"/>
          <w:sz w:val="23"/>
        </w:rPr>
        <w:t>Tech Nation Visa — Global Talent (Exceptional Promise)</w:t>
      </w:r>
    </w:p>
    <w:p w14:paraId="22CDAAD5" w14:textId="77777777" w:rsidR="00155767" w:rsidRDefault="00000000">
      <w:pPr>
        <w:spacing w:after="40"/>
      </w:pPr>
      <w:r>
        <w:rPr>
          <w:b/>
          <w:sz w:val="23"/>
        </w:rPr>
        <w:t xml:space="preserve">Criteria: </w:t>
      </w:r>
      <w:r>
        <w:rPr>
          <w:sz w:val="23"/>
        </w:rPr>
        <w:t>Mandatory Criteria — Technical Authorship and Smart Contract Engineering</w:t>
      </w:r>
    </w:p>
    <w:p w14:paraId="471F6619" w14:textId="77777777" w:rsidR="00155767" w:rsidRDefault="00000000">
      <w:pPr>
        <w:spacing w:after="40"/>
      </w:pPr>
      <w:r>
        <w:rPr>
          <w:b/>
          <w:sz w:val="23"/>
        </w:rPr>
        <w:t xml:space="preserve">Applicant: </w:t>
      </w:r>
      <w:r>
        <w:rPr>
          <w:sz w:val="23"/>
        </w:rPr>
        <w:t>Odeyemi Olusegun Israel</w:t>
      </w:r>
    </w:p>
    <w:p w14:paraId="1A9CBA2E" w14:textId="77777777" w:rsidR="00155767" w:rsidRDefault="00155767">
      <w:pPr>
        <w:pBdr>
          <w:bottom w:val="single" w:sz="8" w:space="1" w:color="1A2A4A"/>
        </w:pBdr>
        <w:spacing w:after="40"/>
      </w:pPr>
    </w:p>
    <w:p w14:paraId="099F3C2C" w14:textId="77777777" w:rsidR="00155767" w:rsidRDefault="00000000">
      <w:pPr>
        <w:spacing w:after="40"/>
        <w:jc w:val="center"/>
      </w:pPr>
      <w:r>
        <w:rPr>
          <w:b/>
          <w:color w:val="1A2A4A"/>
          <w:sz w:val="23"/>
        </w:rPr>
        <w:t>MC-3: Smart Contract Architecture, Polyglot Engineering, and Verified Test Suite</w:t>
      </w:r>
    </w:p>
    <w:p w14:paraId="3CD42612" w14:textId="77777777" w:rsidR="00155767" w:rsidRDefault="00000000">
      <w:pPr>
        <w:spacing w:after="40"/>
      </w:pPr>
      <w:r>
        <w:rPr>
          <w:b/>
          <w:color w:val="1A2A4A"/>
          <w:sz w:val="23"/>
        </w:rPr>
        <w:t>1. Executive Summary</w:t>
      </w:r>
    </w:p>
    <w:p w14:paraId="31C56252" w14:textId="77777777" w:rsidR="00155767" w:rsidRDefault="00155767">
      <w:pPr>
        <w:pBdr>
          <w:bottom w:val="single" w:sz="8" w:space="1" w:color="1A2A4A"/>
        </w:pBdr>
        <w:spacing w:after="40"/>
      </w:pPr>
    </w:p>
    <w:tbl>
      <w:tblPr>
        <w:tblStyle w:val="TableGrid"/>
        <w:tblW w:w="0" w:type="auto"/>
        <w:tblLook w:val="04A0" w:firstRow="1" w:lastRow="0" w:firstColumn="1" w:lastColumn="0" w:noHBand="0" w:noVBand="1"/>
      </w:tblPr>
      <w:tblGrid>
        <w:gridCol w:w="2381"/>
        <w:gridCol w:w="3685"/>
        <w:gridCol w:w="4082"/>
      </w:tblGrid>
      <w:tr w:rsidR="00155767" w14:paraId="7D0C2BDF" w14:textId="77777777">
        <w:tc>
          <w:tcPr>
            <w:tcW w:w="2381" w:type="dxa"/>
            <w:shd w:val="clear" w:color="auto" w:fill="1A2A4A"/>
            <w:tcMar>
              <w:top w:w="55" w:type="dxa"/>
              <w:left w:w="55" w:type="dxa"/>
              <w:bottom w:w="55" w:type="dxa"/>
              <w:right w:w="55" w:type="dxa"/>
            </w:tcMar>
          </w:tcPr>
          <w:p w14:paraId="7C59BF33" w14:textId="77777777" w:rsidR="00155767" w:rsidRDefault="00000000">
            <w:r>
              <w:rPr>
                <w:b/>
                <w:color w:val="FFFFFF"/>
                <w:sz w:val="17"/>
              </w:rPr>
              <w:t>Claim</w:t>
            </w:r>
          </w:p>
        </w:tc>
        <w:tc>
          <w:tcPr>
            <w:tcW w:w="3685" w:type="dxa"/>
            <w:shd w:val="clear" w:color="auto" w:fill="1A2A4A"/>
            <w:tcMar>
              <w:top w:w="55" w:type="dxa"/>
              <w:left w:w="55" w:type="dxa"/>
              <w:bottom w:w="55" w:type="dxa"/>
              <w:right w:w="55" w:type="dxa"/>
            </w:tcMar>
          </w:tcPr>
          <w:p w14:paraId="1A08F872" w14:textId="77777777" w:rsidR="00155767" w:rsidRDefault="00000000">
            <w:r>
              <w:rPr>
                <w:b/>
                <w:color w:val="FFFFFF"/>
                <w:sz w:val="17"/>
              </w:rPr>
              <w:t>Evidence</w:t>
            </w:r>
          </w:p>
        </w:tc>
        <w:tc>
          <w:tcPr>
            <w:tcW w:w="4082" w:type="dxa"/>
            <w:shd w:val="clear" w:color="auto" w:fill="1A2A4A"/>
            <w:tcMar>
              <w:top w:w="55" w:type="dxa"/>
              <w:left w:w="55" w:type="dxa"/>
              <w:bottom w:w="55" w:type="dxa"/>
              <w:right w:w="55" w:type="dxa"/>
            </w:tcMar>
          </w:tcPr>
          <w:p w14:paraId="652FFD10" w14:textId="77777777" w:rsidR="00155767" w:rsidRDefault="00000000">
            <w:r>
              <w:rPr>
                <w:b/>
                <w:color w:val="FFFFFF"/>
                <w:sz w:val="17"/>
              </w:rPr>
              <w:t>Independent verification</w:t>
            </w:r>
          </w:p>
        </w:tc>
      </w:tr>
      <w:tr w:rsidR="00155767" w14:paraId="374746CC" w14:textId="77777777">
        <w:tc>
          <w:tcPr>
            <w:tcW w:w="2381" w:type="dxa"/>
            <w:shd w:val="clear" w:color="auto" w:fill="FFFFFF"/>
            <w:tcMar>
              <w:top w:w="55" w:type="dxa"/>
              <w:left w:w="55" w:type="dxa"/>
              <w:bottom w:w="55" w:type="dxa"/>
              <w:right w:w="55" w:type="dxa"/>
            </w:tcMar>
          </w:tcPr>
          <w:p w14:paraId="56FBFAC7" w14:textId="77777777" w:rsidR="00155767" w:rsidRDefault="00000000">
            <w:r>
              <w:rPr>
                <w:color w:val="1A1A1A"/>
                <w:sz w:val="17"/>
              </w:rPr>
              <w:t>Contracts deployed</w:t>
            </w:r>
          </w:p>
        </w:tc>
        <w:tc>
          <w:tcPr>
            <w:tcW w:w="3685" w:type="dxa"/>
            <w:shd w:val="clear" w:color="auto" w:fill="FFFFFF"/>
            <w:tcMar>
              <w:top w:w="55" w:type="dxa"/>
              <w:left w:w="55" w:type="dxa"/>
              <w:bottom w:w="55" w:type="dxa"/>
              <w:right w:w="55" w:type="dxa"/>
            </w:tcMar>
          </w:tcPr>
          <w:p w14:paraId="1BD08C5F" w14:textId="77777777" w:rsidR="00155767" w:rsidRDefault="00000000">
            <w:r>
              <w:rPr>
                <w:color w:val="1A1A1A"/>
                <w:sz w:val="17"/>
              </w:rPr>
              <w:t>10 contracts, 3 deployment cycles</w:t>
            </w:r>
          </w:p>
        </w:tc>
        <w:tc>
          <w:tcPr>
            <w:tcW w:w="4082" w:type="dxa"/>
            <w:shd w:val="clear" w:color="auto" w:fill="FFFFFF"/>
            <w:tcMar>
              <w:top w:w="55" w:type="dxa"/>
              <w:left w:w="55" w:type="dxa"/>
              <w:bottom w:w="55" w:type="dxa"/>
              <w:right w:w="55" w:type="dxa"/>
            </w:tcMar>
          </w:tcPr>
          <w:p w14:paraId="2AA5D774" w14:textId="77777777" w:rsidR="00155767" w:rsidRDefault="00000000">
            <w:r>
              <w:rPr>
                <w:color w:val="1A1A1A"/>
                <w:sz w:val="17"/>
              </w:rPr>
              <w:t>sepolia.etherscan.io — immutable public blockchain</w:t>
            </w:r>
          </w:p>
        </w:tc>
      </w:tr>
      <w:tr w:rsidR="00155767" w14:paraId="42BB96EA" w14:textId="77777777">
        <w:tc>
          <w:tcPr>
            <w:tcW w:w="2381" w:type="dxa"/>
            <w:shd w:val="clear" w:color="auto" w:fill="F0F4F8"/>
            <w:tcMar>
              <w:top w:w="55" w:type="dxa"/>
              <w:left w:w="55" w:type="dxa"/>
              <w:bottom w:w="55" w:type="dxa"/>
              <w:right w:w="55" w:type="dxa"/>
            </w:tcMar>
          </w:tcPr>
          <w:p w14:paraId="4473C8CA" w14:textId="77777777" w:rsidR="00155767" w:rsidRDefault="00000000">
            <w:r>
              <w:rPr>
                <w:color w:val="1A1A1A"/>
                <w:sz w:val="17"/>
              </w:rPr>
              <w:t>Sole authorship</w:t>
            </w:r>
          </w:p>
        </w:tc>
        <w:tc>
          <w:tcPr>
            <w:tcW w:w="3685" w:type="dxa"/>
            <w:shd w:val="clear" w:color="auto" w:fill="F0F4F8"/>
            <w:tcMar>
              <w:top w:w="55" w:type="dxa"/>
              <w:left w:w="55" w:type="dxa"/>
              <w:bottom w:w="55" w:type="dxa"/>
              <w:right w:w="55" w:type="dxa"/>
            </w:tcMar>
          </w:tcPr>
          <w:p w14:paraId="28EACE91" w14:textId="77777777" w:rsidR="00155767" w:rsidRDefault="00000000">
            <w:r>
              <w:rPr>
                <w:color w:val="1A1A1A"/>
                <w:sz w:val="17"/>
              </w:rPr>
              <w:t>Single deployer wallet 0xBc270F0c…527CaF23F</w:t>
            </w:r>
          </w:p>
        </w:tc>
        <w:tc>
          <w:tcPr>
            <w:tcW w:w="4082" w:type="dxa"/>
            <w:shd w:val="clear" w:color="auto" w:fill="F0F4F8"/>
            <w:tcMar>
              <w:top w:w="55" w:type="dxa"/>
              <w:left w:w="55" w:type="dxa"/>
              <w:bottom w:w="55" w:type="dxa"/>
              <w:right w:w="55" w:type="dxa"/>
            </w:tcMar>
          </w:tcPr>
          <w:p w14:paraId="53035AB4" w14:textId="77777777" w:rsidR="00155767" w:rsidRDefault="00000000">
            <w:r>
              <w:rPr>
                <w:color w:val="1A1A1A"/>
                <w:sz w:val="17"/>
              </w:rPr>
              <w:t>Etherscan Contract Creator field</w:t>
            </w:r>
          </w:p>
        </w:tc>
      </w:tr>
      <w:tr w:rsidR="00155767" w14:paraId="772D5BF2" w14:textId="77777777">
        <w:tc>
          <w:tcPr>
            <w:tcW w:w="2381" w:type="dxa"/>
            <w:shd w:val="clear" w:color="auto" w:fill="FFFFFF"/>
            <w:tcMar>
              <w:top w:w="55" w:type="dxa"/>
              <w:left w:w="55" w:type="dxa"/>
              <w:bottom w:w="55" w:type="dxa"/>
              <w:right w:w="55" w:type="dxa"/>
            </w:tcMar>
          </w:tcPr>
          <w:p w14:paraId="31995B96" w14:textId="77777777" w:rsidR="00155767" w:rsidRDefault="00000000">
            <w:r>
              <w:rPr>
                <w:color w:val="1A1A1A"/>
                <w:sz w:val="17"/>
              </w:rPr>
              <w:t>Test-driven</w:t>
            </w:r>
          </w:p>
        </w:tc>
        <w:tc>
          <w:tcPr>
            <w:tcW w:w="3685" w:type="dxa"/>
            <w:shd w:val="clear" w:color="auto" w:fill="FFFFFF"/>
            <w:tcMar>
              <w:top w:w="55" w:type="dxa"/>
              <w:left w:w="55" w:type="dxa"/>
              <w:bottom w:w="55" w:type="dxa"/>
              <w:right w:w="55" w:type="dxa"/>
            </w:tcMar>
          </w:tcPr>
          <w:p w14:paraId="635B5565" w14:textId="77777777" w:rsidR="00155767" w:rsidRDefault="00000000">
            <w:r>
              <w:rPr>
                <w:color w:val="1A1A1A"/>
                <w:sz w:val="17"/>
              </w:rPr>
              <w:t>74 files compiled, 8 integration tests passing</w:t>
            </w:r>
          </w:p>
        </w:tc>
        <w:tc>
          <w:tcPr>
            <w:tcW w:w="4082" w:type="dxa"/>
            <w:shd w:val="clear" w:color="auto" w:fill="FFFFFF"/>
            <w:tcMar>
              <w:top w:w="55" w:type="dxa"/>
              <w:left w:w="55" w:type="dxa"/>
              <w:bottom w:w="55" w:type="dxa"/>
              <w:right w:w="55" w:type="dxa"/>
            </w:tcMar>
          </w:tcPr>
          <w:p w14:paraId="41E7DD9B" w14:textId="77777777" w:rsidR="00155767" w:rsidRDefault="00000000">
            <w:r>
              <w:rPr>
                <w:color w:val="1A1A1A"/>
                <w:sz w:val="17"/>
              </w:rPr>
              <w:t>Hardhat screenshot — timestamped output</w:t>
            </w:r>
          </w:p>
        </w:tc>
      </w:tr>
      <w:tr w:rsidR="00155767" w14:paraId="67170299" w14:textId="77777777">
        <w:tc>
          <w:tcPr>
            <w:tcW w:w="2381" w:type="dxa"/>
            <w:shd w:val="clear" w:color="auto" w:fill="F0F4F8"/>
            <w:tcMar>
              <w:top w:w="55" w:type="dxa"/>
              <w:left w:w="55" w:type="dxa"/>
              <w:bottom w:w="55" w:type="dxa"/>
              <w:right w:w="55" w:type="dxa"/>
            </w:tcMar>
          </w:tcPr>
          <w:p w14:paraId="222D4E8C" w14:textId="77777777" w:rsidR="00155767" w:rsidRDefault="00000000">
            <w:r>
              <w:rPr>
                <w:color w:val="1A1A1A"/>
                <w:sz w:val="17"/>
              </w:rPr>
              <w:t>ZK privacy layer</w:t>
            </w:r>
          </w:p>
        </w:tc>
        <w:tc>
          <w:tcPr>
            <w:tcW w:w="3685" w:type="dxa"/>
            <w:shd w:val="clear" w:color="auto" w:fill="F0F4F8"/>
            <w:tcMar>
              <w:top w:w="55" w:type="dxa"/>
              <w:left w:w="55" w:type="dxa"/>
              <w:bottom w:w="55" w:type="dxa"/>
              <w:right w:w="55" w:type="dxa"/>
            </w:tcMar>
          </w:tcPr>
          <w:p w14:paraId="3F2B1F9C" w14:textId="77777777" w:rsidR="00155767" w:rsidRDefault="00000000">
            <w:r>
              <w:rPr>
                <w:color w:val="1A1A1A"/>
                <w:sz w:val="17"/>
              </w:rPr>
              <w:t>3 ZK-SNARK verifier contracts, Apr 2026</w:t>
            </w:r>
          </w:p>
        </w:tc>
        <w:tc>
          <w:tcPr>
            <w:tcW w:w="4082" w:type="dxa"/>
            <w:shd w:val="clear" w:color="auto" w:fill="F0F4F8"/>
            <w:tcMar>
              <w:top w:w="55" w:type="dxa"/>
              <w:left w:w="55" w:type="dxa"/>
              <w:bottom w:w="55" w:type="dxa"/>
              <w:right w:w="55" w:type="dxa"/>
            </w:tcMar>
          </w:tcPr>
          <w:p w14:paraId="746879D6" w14:textId="77777777" w:rsidR="00155767" w:rsidRDefault="00000000">
            <w:r>
              <w:rPr>
                <w:color w:val="1A1A1A"/>
                <w:sz w:val="17"/>
              </w:rPr>
              <w:t>Contract addresses in Table 1 below</w:t>
            </w:r>
          </w:p>
        </w:tc>
      </w:tr>
      <w:tr w:rsidR="00155767" w14:paraId="67170299" w14:textId="77777777">
        <w:tc>
          <w:tcPr>
            <w:tcW w:w="2381" w:type="dxa"/>
            <w:shd w:val="clear" w:color="auto" w:fill="F0F4F8"/>
            <w:tcMar>
              <w:top w:w="55" w:type="dxa"/>
              <w:left w:w="55" w:type="dxa"/>
              <w:bottom w:w="55" w:type="dxa"/>
              <w:right w:w="55" w:type="dxa"/>
            </w:tcMar>
          </w:tcPr>
          <w:p w14:paraId="222D4E8C" w14:textId="77777777" w:rsidR="00155767" w:rsidRDefault="00000000">
            <w:r>
              <w:rPr>
                <w:color w:val="1A1A1A"/>
                <w:sz w:val="17"/>
              </w:rPr>
              <w:t>Dispute resolution</w:t>
            </w:r>
          </w:p>
        </w:tc>
        <w:tc>
          <w:tcPr>
            <w:tcW w:w="3685" w:type="dxa"/>
            <w:shd w:val="clear" w:color="auto" w:fill="F0F4F8"/>
            <w:tcMar>
              <w:top w:w="55" w:type="dxa"/>
              <w:left w:w="55" w:type="dxa"/>
              <w:bottom w:w="55" w:type="dxa"/>
              <w:right w:w="55" w:type="dxa"/>
            </w:tcMar>
          </w:tcPr>
          <w:p w14:paraId="3F2B1F9C" w14:textId="77777777" w:rsidR="00155767" w:rsidRDefault="00000000">
            <w:r>
              <w:rPr>
                <w:color w:val="1A1A1A"/>
                <w:sz w:val="17"/>
              </w:rPr>
              <w:t>Real KlerosCore dispute #36 on AMTTPDisputeResolver (Arbitrum Sepolia, May 2026)</w:t>
            </w:r>
          </w:p>
        </w:tc>
        <w:tc>
          <w:tcPr>
            <w:tcW w:w="4082" w:type="dxa"/>
            <w:shd w:val="clear" w:color="auto" w:fill="F0F4F8"/>
            <w:tcMar>
              <w:top w:w="55" w:type="dxa"/>
              <w:left w:w="55" w:type="dxa"/>
              <w:bottom w:w="55" w:type="dxa"/>
              <w:right w:w="55" w:type="dxa"/>
            </w:tcMar>
          </w:tcPr>
          <w:p w14:paraId="746879D6" w14:textId="77777777" w:rsidR="00155767" w:rsidRDefault="00000000">
            <w:r>
              <w:rPr>
                <w:color w:val="1A1A1A"/>
                <w:sz w:val="17"/>
              </w:rPr>
              <w:t>sepolia.arbiscan.io — DisputeCreation event txn 0x1aeb...1080c, publicly verifiable</w:t>
            </w:r>
          </w:p>
        </w:tc>
      </w:tr>
    </w:tbl>
    <w:p w14:paraId="6AD39F40" w14:textId="77777777" w:rsidR="00E85F8F" w:rsidRDefault="00E85F8F">
      <w:pPr>
        <w:spacing w:after="40"/>
        <w:rPr>
          <w:sz w:val="23"/>
        </w:rPr>
      </w:pPr>
    </w:p>
    <w:p w14:paraId="78CB8B29" w14:textId="4684AC52" w:rsidR="00155767" w:rsidRDefault="00000000">
      <w:pPr>
        <w:spacing w:after="40"/>
      </w:pPr>
      <w:r>
        <w:rPr>
          <w:sz w:val="23"/>
        </w:rP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14:paraId="33A68D18" w14:textId="77777777" w:rsidR="00155767" w:rsidRDefault="00155767">
      <w:pPr>
        <w:spacing w:after="40"/>
      </w:pPr>
    </w:p>
    <w:p w14:paraId="177FAC76" w14:textId="12AC020F" w:rsidR="00155767" w:rsidRDefault="00000000">
      <w:pPr>
        <w:spacing w:after="40"/>
      </w:pPr>
      <w:r>
        <w:rPr>
          <w:sz w:val="23"/>
        </w:rPr>
        <w:t xml:space="preserve">I </w:t>
      </w:r>
      <w:r w:rsidR="00E85F8F">
        <w:rPr>
          <w:sz w:val="23"/>
        </w:rPr>
        <w:t>deployed</w:t>
      </w:r>
      <w:r>
        <w:rPr>
          <w:sz w:val="23"/>
        </w:rPr>
        <w:t xml:space="preserve"> </w:t>
      </w:r>
      <w:r>
        <w:rPr>
          <w:b/>
          <w:sz w:val="23"/>
        </w:rPr>
        <w:t>10 such contracts in Solidity</w:t>
      </w:r>
      <w:r>
        <w:rPr>
          <w:sz w:val="23"/>
        </w:rPr>
        <w:t xml:space="preserve"> (Ethereum's programming language). Each receives AI</w:t>
      </w:r>
      <w:r w:rsidR="00FA3067">
        <w:rPr>
          <w:sz w:val="23"/>
        </w:rPr>
        <w:t xml:space="preserve"> powered</w:t>
      </w:r>
      <w:r>
        <w:rPr>
          <w:sz w:val="23"/>
        </w:rPr>
        <w:t xml:space="preserve"> risk scores and issues enforceable compliance outcomes </w:t>
      </w:r>
      <w:r w:rsidR="00FA3067">
        <w:rPr>
          <w:sz w:val="23"/>
        </w:rPr>
        <w:t>;</w:t>
      </w:r>
      <w:r>
        <w:rPr>
          <w:sz w:val="23"/>
        </w:rPr>
        <w:t xml:space="preserve"> Approve, Review, Hold, or Block — through the contract logic. A single deployer address and immutable timestamps at </w:t>
      </w:r>
      <w:r>
        <w:rPr>
          <w:rFonts w:ascii="Courier New" w:hAnsi="Courier New"/>
          <w:sz w:val="23"/>
        </w:rPr>
        <w:t>sepolia.etherscan.io</w:t>
      </w:r>
      <w:r>
        <w:rPr>
          <w:sz w:val="23"/>
        </w:rPr>
        <w:t xml:space="preserve"> confirm both sole authorship and the development timeline. First deployment: December 2025. Full 10-contract re-deployment including ZK cryptographic verifiers: April 2026.</w:t>
      </w:r>
    </w:p>
    <w:p w14:paraId="32857FCD" w14:textId="77777777" w:rsidR="00E85F8F" w:rsidRDefault="00E85F8F">
      <w:pPr>
        <w:spacing w:after="40"/>
        <w:rPr>
          <w:b/>
          <w:color w:val="1A2A4A"/>
          <w:sz w:val="23"/>
        </w:rPr>
      </w:pPr>
    </w:p>
    <w:p w14:paraId="1807DD12" w14:textId="3A24D829" w:rsidR="00155767" w:rsidRDefault="00000000">
      <w:pPr>
        <w:spacing w:after="40"/>
      </w:pPr>
      <w:r>
        <w:rPr>
          <w:b/>
          <w:color w:val="1A2A4A"/>
          <w:sz w:val="23"/>
        </w:rPr>
        <w:t>2. Policy Enforcement Contract</w:t>
      </w:r>
    </w:p>
    <w:p w14:paraId="00B8C9D8" w14:textId="77777777" w:rsidR="00155767" w:rsidRDefault="00155767">
      <w:pPr>
        <w:pBdr>
          <w:bottom w:val="single" w:sz="8" w:space="1" w:color="1A2A4A"/>
        </w:pBdr>
        <w:spacing w:after="40"/>
      </w:pPr>
    </w:p>
    <w:p w14:paraId="0995ADE9" w14:textId="77777777" w:rsidR="00E85F8F" w:rsidRDefault="00E85F8F">
      <w:pPr>
        <w:jc w:val="center"/>
      </w:pPr>
    </w:p>
    <w:p w14:paraId="4C240FD3" w14:textId="539155CE" w:rsidR="00155767" w:rsidRDefault="00000000">
      <w:pPr>
        <w:jc w:val="center"/>
      </w:pPr>
      <w:r>
        <w:rPr>
          <w:noProof/>
        </w:rPr>
        <w:drawing>
          <wp:inline distT="0" distB="0" distL="0" distR="0" wp14:anchorId="1FB2F47B" wp14:editId="2F59E628">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multitab.png"/>
                    <pic:cNvPicPr/>
                  </pic:nvPicPr>
                  <pic:blipFill>
                    <a:blip r:embed="rId6"/>
                    <a:stretch>
                      <a:fillRect/>
                    </a:stretch>
                  </pic:blipFill>
                  <pic:spPr>
                    <a:xfrm>
                      <a:off x="0" y="0"/>
                      <a:ext cx="4892040" cy="2751772"/>
                    </a:xfrm>
                    <a:prstGeom prst="rect">
                      <a:avLst/>
                    </a:prstGeom>
                  </pic:spPr>
                </pic:pic>
              </a:graphicData>
            </a:graphic>
          </wp:inline>
        </w:drawing>
      </w:r>
    </w:p>
    <w:p w14:paraId="1E7FFFE0" w14:textId="77777777" w:rsidR="00155767" w:rsidRDefault="00000000">
      <w:pPr>
        <w:spacing w:after="40"/>
      </w:pPr>
      <w:r>
        <w:rPr>
          <w:i/>
          <w:color w:val="444444"/>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14:paraId="2F87FABC" w14:textId="1F1964FB" w:rsidR="00155767" w:rsidRDefault="00000000">
      <w:pPr>
        <w:spacing w:after="40"/>
      </w:pPr>
      <w:r>
        <w:rPr>
          <w:b/>
          <w:color w:val="1A2A4A"/>
          <w:sz w:val="23"/>
        </w:rPr>
        <w:lastRenderedPageBreak/>
        <w:t>3. Automated Test Evidence</w:t>
      </w:r>
    </w:p>
    <w:p w14:paraId="0EAAC748" w14:textId="77777777" w:rsidR="00155767" w:rsidRDefault="00155767">
      <w:pPr>
        <w:pBdr>
          <w:bottom w:val="single" w:sz="8" w:space="1" w:color="1A2A4A"/>
        </w:pBdr>
        <w:spacing w:after="40"/>
      </w:pPr>
    </w:p>
    <w:p w14:paraId="48ABC57C" w14:textId="77777777" w:rsidR="00155767" w:rsidRDefault="00000000">
      <w:pPr>
        <w:jc w:val="center"/>
      </w:pPr>
      <w:r>
        <w:rPr>
          <w:noProof/>
        </w:rPr>
        <w:drawing>
          <wp:inline distT="0" distB="0" distL="0" distR="0" wp14:anchorId="26DF4D59" wp14:editId="5FA70760">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7"/>
                    <a:stretch>
                      <a:fillRect/>
                    </a:stretch>
                  </pic:blipFill>
                  <pic:spPr>
                    <a:xfrm>
                      <a:off x="0" y="0"/>
                      <a:ext cx="4892040" cy="2751772"/>
                    </a:xfrm>
                    <a:prstGeom prst="rect">
                      <a:avLst/>
                    </a:prstGeom>
                  </pic:spPr>
                </pic:pic>
              </a:graphicData>
            </a:graphic>
          </wp:inline>
        </w:drawing>
      </w:r>
    </w:p>
    <w:p w14:paraId="00C405F6" w14:textId="77777777" w:rsidR="00155767" w:rsidRDefault="00000000">
      <w:pPr>
        <w:spacing w:after="40"/>
      </w:pPr>
      <w:r>
        <w:rPr>
          <w:i/>
          <w:color w:val="444444"/>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14:paraId="7B254EA8" w14:textId="77777777" w:rsidR="00155767" w:rsidRDefault="00155767">
      <w:pPr>
        <w:pBdr>
          <w:bottom w:val="single" w:sz="8" w:space="1" w:color="1A2A4A"/>
        </w:pBdr>
        <w:spacing w:after="40"/>
      </w:pPr>
    </w:p>
    <w:p w14:paraId="61478E3F" w14:textId="77777777" w:rsidR="00155767" w:rsidRDefault="00000000">
      <w:pPr>
        <w:spacing w:after="40"/>
      </w:pPr>
      <w:r>
        <w:rPr>
          <w:b/>
          <w:color w:val="1A2A4A"/>
          <w:sz w:val="23"/>
        </w:rPr>
        <w:t>4. On-Chain Deployment Evidence (Ethereum Sepolia Testnet)</w:t>
      </w:r>
    </w:p>
    <w:p w14:paraId="1128FF00" w14:textId="77777777" w:rsidR="00155767" w:rsidRDefault="00155767">
      <w:pPr>
        <w:pBdr>
          <w:bottom w:val="single" w:sz="8" w:space="1" w:color="1A2A4A"/>
        </w:pBdr>
        <w:spacing w:after="40"/>
      </w:pPr>
    </w:p>
    <w:p w14:paraId="6CCB5CFE" w14:textId="77777777" w:rsidR="00155767" w:rsidRDefault="00000000">
      <w:pPr>
        <w:spacing w:after="40"/>
      </w:pPr>
      <w:r>
        <w:rPr>
          <w:sz w:val="23"/>
        </w:rP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all three cycles, confirming single-author ownership.</w:t>
      </w:r>
    </w:p>
    <w:tbl>
      <w:tblPr>
        <w:tblStyle w:val="TableGrid"/>
        <w:tblW w:w="0" w:type="auto"/>
        <w:jc w:val="center"/>
        <w:tblLook w:val="04A0" w:firstRow="1" w:lastRow="0" w:firstColumn="1" w:lastColumn="0" w:noHBand="0" w:noVBand="1"/>
      </w:tblPr>
      <w:tblGrid>
        <w:gridCol w:w="3168"/>
        <w:gridCol w:w="6192"/>
      </w:tblGrid>
      <w:tr w:rsidR="00155767" w14:paraId="6F355D7E" w14:textId="77777777">
        <w:trPr>
          <w:jc w:val="center"/>
        </w:trPr>
        <w:tc>
          <w:tcPr>
            <w:tcW w:w="3168" w:type="dxa"/>
            <w:shd w:val="clear" w:color="auto" w:fill="D9E1F2"/>
          </w:tcPr>
          <w:p w14:paraId="50BB6CBD" w14:textId="77777777" w:rsidR="00155767" w:rsidRDefault="00000000">
            <w:r>
              <w:rPr>
                <w:b/>
                <w:sz w:val="15"/>
              </w:rPr>
              <w:t>Contract</w:t>
            </w:r>
          </w:p>
        </w:tc>
        <w:tc>
          <w:tcPr>
            <w:tcW w:w="6192" w:type="dxa"/>
            <w:shd w:val="clear" w:color="auto" w:fill="D9E1F2"/>
          </w:tcPr>
          <w:p w14:paraId="4147813A" w14:textId="77777777" w:rsidR="00155767" w:rsidRDefault="00000000">
            <w:r>
              <w:rPr>
                <w:b/>
                <w:sz w:val="15"/>
              </w:rPr>
              <w:t>Address (sepolia.etherscan.io)</w:t>
            </w:r>
          </w:p>
        </w:tc>
      </w:tr>
      <w:tr w:rsidR="00155767" w14:paraId="02049EEB" w14:textId="77777777">
        <w:trPr>
          <w:jc w:val="center"/>
        </w:trPr>
        <w:tc>
          <w:tcPr>
            <w:tcW w:w="3168" w:type="dxa"/>
          </w:tcPr>
          <w:p w14:paraId="6D50994A" w14:textId="77777777" w:rsidR="00155767" w:rsidRDefault="00000000">
            <w:r>
              <w:rPr>
                <w:sz w:val="15"/>
              </w:rPr>
              <w:t>AMTTPCore (v2)</w:t>
            </w:r>
          </w:p>
        </w:tc>
        <w:tc>
          <w:tcPr>
            <w:tcW w:w="6192" w:type="dxa"/>
          </w:tcPr>
          <w:p w14:paraId="4815A916" w14:textId="77777777" w:rsidR="00155767" w:rsidRDefault="00000000">
            <w:r>
              <w:rPr>
                <w:sz w:val="15"/>
              </w:rPr>
              <w:t>0x05687FBb0f8921ff502BdEbC180b24Ed2B14b612</w:t>
            </w:r>
          </w:p>
        </w:tc>
      </w:tr>
      <w:tr w:rsidR="00155767" w14:paraId="4A2D6718" w14:textId="77777777">
        <w:trPr>
          <w:jc w:val="center"/>
        </w:trPr>
        <w:tc>
          <w:tcPr>
            <w:tcW w:w="3168" w:type="dxa"/>
          </w:tcPr>
          <w:p w14:paraId="06513C65" w14:textId="77777777" w:rsidR="00155767" w:rsidRDefault="00000000">
            <w:r>
              <w:rPr>
                <w:sz w:val="15"/>
              </w:rPr>
              <w:t>PolicyManager</w:t>
            </w:r>
          </w:p>
        </w:tc>
        <w:tc>
          <w:tcPr>
            <w:tcW w:w="6192" w:type="dxa"/>
          </w:tcPr>
          <w:p w14:paraId="7586A9CF" w14:textId="77777777" w:rsidR="00155767" w:rsidRDefault="00000000">
            <w:r>
              <w:rPr>
                <w:sz w:val="15"/>
              </w:rPr>
              <w:t>0x4eECb1348988A041B89acA4Aa9348F6e1DD9BcD3</w:t>
            </w:r>
          </w:p>
        </w:tc>
      </w:tr>
      <w:tr w:rsidR="00155767" w14:paraId="2E7A76D9" w14:textId="77777777">
        <w:trPr>
          <w:jc w:val="center"/>
        </w:trPr>
        <w:tc>
          <w:tcPr>
            <w:tcW w:w="3168" w:type="dxa"/>
          </w:tcPr>
          <w:p w14:paraId="4AD8ECD8" w14:textId="77777777" w:rsidR="00155767" w:rsidRDefault="00000000">
            <w:r>
              <w:rPr>
                <w:sz w:val="15"/>
              </w:rPr>
              <w:t>PolicyEngine (v2)</w:t>
            </w:r>
          </w:p>
        </w:tc>
        <w:tc>
          <w:tcPr>
            <w:tcW w:w="6192" w:type="dxa"/>
          </w:tcPr>
          <w:p w14:paraId="7F02EE3C" w14:textId="77777777" w:rsidR="00155767" w:rsidRDefault="00000000">
            <w:r>
              <w:rPr>
                <w:sz w:val="15"/>
              </w:rPr>
              <w:t>0xe774E01CbFC63cfb64a0ec054821fDb5A61d8703</w:t>
            </w:r>
          </w:p>
        </w:tc>
      </w:tr>
      <w:tr w:rsidR="00155767" w14:paraId="70CBD131" w14:textId="77777777">
        <w:trPr>
          <w:jc w:val="center"/>
        </w:trPr>
        <w:tc>
          <w:tcPr>
            <w:tcW w:w="3168" w:type="dxa"/>
          </w:tcPr>
          <w:p w14:paraId="2B2E30D5" w14:textId="77777777" w:rsidR="00155767" w:rsidRDefault="00000000">
            <w:r>
              <w:rPr>
                <w:sz w:val="15"/>
              </w:rPr>
              <w:t>DisputeResolver (v2)</w:t>
            </w:r>
          </w:p>
        </w:tc>
        <w:tc>
          <w:tcPr>
            <w:tcW w:w="6192" w:type="dxa"/>
          </w:tcPr>
          <w:p w14:paraId="26143897" w14:textId="77777777" w:rsidR="00155767" w:rsidRDefault="00000000">
            <w:r>
              <w:rPr>
                <w:sz w:val="15"/>
              </w:rPr>
              <w:t>0x9EB935E68DEa685B6feAa9DAB51a46Dcd4da53D7</w:t>
            </w:r>
          </w:p>
        </w:tc>
      </w:tr>
      <w:tr w:rsidR="00155767" w14:paraId="0588E4C4" w14:textId="77777777">
        <w:trPr>
          <w:jc w:val="center"/>
        </w:trPr>
        <w:tc>
          <w:tcPr>
            <w:tcW w:w="3168" w:type="dxa"/>
          </w:tcPr>
          <w:p w14:paraId="56254AEC" w14:textId="77777777" w:rsidR="00155767" w:rsidRDefault="00000000">
            <w:r>
              <w:rPr>
                <w:sz w:val="15"/>
              </w:rPr>
              <w:t>CrossChain (v2)</w:t>
            </w:r>
          </w:p>
        </w:tc>
        <w:tc>
          <w:tcPr>
            <w:tcW w:w="6192" w:type="dxa"/>
          </w:tcPr>
          <w:p w14:paraId="6FB81EF7" w14:textId="77777777" w:rsidR="00155767" w:rsidRDefault="00000000">
            <w:r>
              <w:rPr>
                <w:sz w:val="15"/>
              </w:rPr>
              <w:t>0x4f21b16D56e67c8Fa6AB0e3457deAB2805432953</w:t>
            </w:r>
          </w:p>
        </w:tc>
      </w:tr>
      <w:tr w:rsidR="00155767" w14:paraId="6594BB35" w14:textId="77777777">
        <w:trPr>
          <w:jc w:val="center"/>
        </w:trPr>
        <w:tc>
          <w:tcPr>
            <w:tcW w:w="3168" w:type="dxa"/>
          </w:tcPr>
          <w:p w14:paraId="6FBCF091" w14:textId="77777777" w:rsidR="00155767" w:rsidRDefault="00000000">
            <w:r>
              <w:rPr>
                <w:sz w:val="15"/>
              </w:rPr>
              <w:t>ZK-NAF RiskVerifier</w:t>
            </w:r>
          </w:p>
        </w:tc>
        <w:tc>
          <w:tcPr>
            <w:tcW w:w="6192" w:type="dxa"/>
          </w:tcPr>
          <w:p w14:paraId="3E65E1D0" w14:textId="77777777" w:rsidR="00155767" w:rsidRDefault="00000000">
            <w:r>
              <w:rPr>
                <w:sz w:val="15"/>
              </w:rPr>
              <w:t>0x434FE5D136C20dF81a2E8240F911c2020C10D3b2</w:t>
            </w:r>
          </w:p>
        </w:tc>
      </w:tr>
      <w:tr w:rsidR="00155767" w14:paraId="5C3C6C25" w14:textId="77777777">
        <w:trPr>
          <w:jc w:val="center"/>
        </w:trPr>
        <w:tc>
          <w:tcPr>
            <w:tcW w:w="3168" w:type="dxa"/>
          </w:tcPr>
          <w:p w14:paraId="15DEC782" w14:textId="77777777" w:rsidR="00155767" w:rsidRDefault="00000000">
            <w:r>
              <w:rPr>
                <w:sz w:val="15"/>
              </w:rPr>
              <w:t>ZK-NAF KYCVerifier</w:t>
            </w:r>
          </w:p>
        </w:tc>
        <w:tc>
          <w:tcPr>
            <w:tcW w:w="6192" w:type="dxa"/>
          </w:tcPr>
          <w:p w14:paraId="1E98853E" w14:textId="77777777" w:rsidR="00155767" w:rsidRDefault="00000000">
            <w:r>
              <w:rPr>
                <w:sz w:val="15"/>
              </w:rPr>
              <w:t>0xf4BEaF8263cCB9f67736512BC168ea8D5ECBDfaA</w:t>
            </w:r>
          </w:p>
        </w:tc>
      </w:tr>
      <w:tr w:rsidR="00155767" w14:paraId="6108A579" w14:textId="77777777">
        <w:trPr>
          <w:jc w:val="center"/>
        </w:trPr>
        <w:tc>
          <w:tcPr>
            <w:tcW w:w="3168" w:type="dxa"/>
          </w:tcPr>
          <w:p w14:paraId="150DB25E" w14:textId="77777777" w:rsidR="00155767" w:rsidRDefault="00000000">
            <w:r>
              <w:rPr>
                <w:sz w:val="15"/>
              </w:rPr>
              <w:t>ZK-NAF SanctionsVerifier</w:t>
            </w:r>
          </w:p>
        </w:tc>
        <w:tc>
          <w:tcPr>
            <w:tcW w:w="6192" w:type="dxa"/>
          </w:tcPr>
          <w:p w14:paraId="49807B57" w14:textId="77777777" w:rsidR="00155767" w:rsidRDefault="00000000">
            <w:r>
              <w:rPr>
                <w:sz w:val="15"/>
              </w:rPr>
              <w:t>0xdef3f2fff995eB2B0Cb3577A3cA9B55916005145</w:t>
            </w:r>
          </w:p>
        </w:tc>
      </w:tr>
      <w:tr w:rsidR="00155767" w14:paraId="3F6EBB54" w14:textId="77777777">
        <w:trPr>
          <w:jc w:val="center"/>
        </w:trPr>
        <w:tc>
          <w:tcPr>
            <w:tcW w:w="3168" w:type="dxa"/>
          </w:tcPr>
          <w:p w14:paraId="23C1103D" w14:textId="77777777" w:rsidR="00155767" w:rsidRDefault="00000000">
            <w:r>
              <w:rPr>
                <w:sz w:val="15"/>
              </w:rPr>
              <w:t>zkNAFRouter</w:t>
            </w:r>
          </w:p>
        </w:tc>
        <w:tc>
          <w:tcPr>
            <w:tcW w:w="6192" w:type="dxa"/>
          </w:tcPr>
          <w:p w14:paraId="4098C29C" w14:textId="77777777" w:rsidR="00155767" w:rsidRDefault="00000000">
            <w:r>
              <w:rPr>
                <w:sz w:val="15"/>
              </w:rPr>
              <w:t>0xa5D36782089002F945167a83Bd3d2a237820F77C</w:t>
            </w:r>
          </w:p>
        </w:tc>
      </w:tr>
      <w:tr w:rsidR="00155767" w14:paraId="28769C9D" w14:textId="77777777">
        <w:trPr>
          <w:jc w:val="center"/>
        </w:trPr>
        <w:tc>
          <w:tcPr>
            <w:tcW w:w="3168" w:type="dxa"/>
          </w:tcPr>
          <w:p w14:paraId="16156B7F" w14:textId="77777777" w:rsidR="00155767" w:rsidRDefault="00000000">
            <w:r>
              <w:rPr>
                <w:sz w:val="15"/>
              </w:rPr>
              <w:t>RiskRouter</w:t>
            </w:r>
          </w:p>
        </w:tc>
        <w:tc>
          <w:tcPr>
            <w:tcW w:w="6192" w:type="dxa"/>
          </w:tcPr>
          <w:p w14:paraId="4EC9A2C7" w14:textId="77777777" w:rsidR="00155767" w:rsidRDefault="00000000">
            <w:r>
              <w:rPr>
                <w:sz w:val="15"/>
              </w:rPr>
              <w:t>0xE722A6466F9000e0e891254Dc96Bac6a5a49F932</w:t>
            </w:r>
          </w:p>
        </w:tc>
      </w:tr>
    </w:tbl>
    <w:p w14:paraId="6962F139" w14:textId="77777777" w:rsidR="00155767" w:rsidRDefault="00155767">
      <w:pPr>
        <w:spacing w:after="40"/>
      </w:pPr>
    </w:p>
    <w:p w14:paraId="13CD0EC5" w14:textId="77777777" w:rsidR="00155767" w:rsidRDefault="00000000">
      <w:pPr>
        <w:jc w:val="center"/>
      </w:pPr>
      <w:r>
        <w:rPr>
          <w:noProof/>
        </w:rPr>
        <w:drawing>
          <wp:inline distT="0" distB="0" distL="0" distR="0" wp14:anchorId="25D2E8FC" wp14:editId="2740CFBC">
            <wp:extent cx="4892040" cy="2751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scan_contract.png"/>
                    <pic:cNvPicPr/>
                  </pic:nvPicPr>
                  <pic:blipFill>
                    <a:blip r:embed="rId8"/>
                    <a:stretch>
                      <a:fillRect/>
                    </a:stretch>
                  </pic:blipFill>
                  <pic:spPr>
                    <a:xfrm>
                      <a:off x="0" y="0"/>
                      <a:ext cx="4892040" cy="2751772"/>
                    </a:xfrm>
                    <a:prstGeom prst="rect">
                      <a:avLst/>
                    </a:prstGeom>
                  </pic:spPr>
                </pic:pic>
              </a:graphicData>
            </a:graphic>
          </wp:inline>
        </w:drawing>
      </w:r>
    </w:p>
    <w:p w14:paraId="3CBC6718" w14:textId="77777777" w:rsidR="00155767" w:rsidRDefault="00000000">
      <w:pPr>
        <w:spacing w:after="40"/>
      </w:pPr>
      <w:r>
        <w:rPr>
          <w:i/>
          <w:color w:val="444444"/>
        </w:rPr>
        <w:lastRenderedPageBreak/>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14:paraId="22CBE128" w14:textId="77777777" w:rsidR="00155767" w:rsidRDefault="00000000">
      <w:pPr>
        <w:spacing w:after="40"/>
      </w:pPr>
      <w:r>
        <w:rPr>
          <w:b/>
          <w:color w:val="1A2A4A"/>
          <w:sz w:val="23"/>
        </w:rPr>
        <w:t>5. Kleros-Compatible Dispute Resolution and Evidence Escrow</w:t>
      </w:r>
    </w:p>
    <w:p w14:paraId="0289826B" w14:textId="77777777" w:rsidR="00155767" w:rsidRDefault="00155767">
      <w:pPr>
        <w:pBdr>
          <w:bottom w:val="single" w:sz="8" w:space="1" w:color="1A2A4A"/>
        </w:pBdr>
        <w:spacing w:after="40"/>
      </w:pPr>
    </w:p>
    <w:p w14:paraId="705CEFE6" w14:textId="77777777" w:rsidR="00155767" w:rsidRDefault="00000000">
      <w:pPr>
        <w:spacing w:after="40"/>
        <w:rPr>
          <w:sz w:val="23"/>
        </w:rPr>
      </w:pPr>
      <w:r>
        <w:rPr>
          <w:sz w:val="23"/>
        </w:rPr>
        <w:t>AMTTP does not stop at approve/block decisions. High-risk transactions can be routed into a Kleros-style dispute flow: funds remain in escrow, both parties can submit evidence, an arbitrator or authorised resolver issues a ruling, and the core contract releases funds to the recipient or refunds the sender. This closes the main compliance loophole in automated AML systems: a transaction that is too risky to approve immediately is not simply rejected without process; it is preserved with an audit trail and a deterministic ruling path.</w:t>
      </w:r>
    </w:p>
    <w:p w14:paraId="4FC288FD" w14:textId="77777777" w:rsidR="00E85F8F" w:rsidRPr="00E85F8F" w:rsidRDefault="00E85F8F">
      <w:pPr>
        <w:spacing w:after="40"/>
        <w:rPr>
          <w:szCs w:val="18"/>
        </w:rPr>
      </w:pPr>
    </w:p>
    <w:tbl>
      <w:tblPr>
        <w:tblStyle w:val="TableGrid"/>
        <w:tblW w:w="0" w:type="auto"/>
        <w:jc w:val="center"/>
        <w:tblLook w:val="04A0" w:firstRow="1" w:lastRow="0" w:firstColumn="1" w:lastColumn="0" w:noHBand="0" w:noVBand="1"/>
      </w:tblPr>
      <w:tblGrid>
        <w:gridCol w:w="2448"/>
        <w:gridCol w:w="3456"/>
        <w:gridCol w:w="3456"/>
      </w:tblGrid>
      <w:tr w:rsidR="00155767" w:rsidRPr="00E85F8F" w14:paraId="05A648F4" w14:textId="77777777">
        <w:trPr>
          <w:jc w:val="center"/>
        </w:trPr>
        <w:tc>
          <w:tcPr>
            <w:tcW w:w="2448" w:type="dxa"/>
            <w:shd w:val="clear" w:color="auto" w:fill="D9E1F2"/>
          </w:tcPr>
          <w:p w14:paraId="386C5121" w14:textId="77777777" w:rsidR="00155767" w:rsidRPr="00E85F8F" w:rsidRDefault="00000000">
            <w:pPr>
              <w:rPr>
                <w:szCs w:val="18"/>
              </w:rPr>
            </w:pPr>
            <w:r w:rsidRPr="00E85F8F">
              <w:rPr>
                <w:b/>
                <w:szCs w:val="18"/>
              </w:rPr>
              <w:t>Dispute feature</w:t>
            </w:r>
          </w:p>
        </w:tc>
        <w:tc>
          <w:tcPr>
            <w:tcW w:w="3456" w:type="dxa"/>
            <w:shd w:val="clear" w:color="auto" w:fill="D9E1F2"/>
          </w:tcPr>
          <w:p w14:paraId="2E71323C" w14:textId="77777777" w:rsidR="00155767" w:rsidRPr="00E85F8F" w:rsidRDefault="00000000">
            <w:pPr>
              <w:rPr>
                <w:szCs w:val="18"/>
              </w:rPr>
            </w:pPr>
            <w:r w:rsidRPr="00E85F8F">
              <w:rPr>
                <w:b/>
                <w:szCs w:val="18"/>
              </w:rPr>
              <w:t>Implementation evidence</w:t>
            </w:r>
          </w:p>
        </w:tc>
        <w:tc>
          <w:tcPr>
            <w:tcW w:w="3456" w:type="dxa"/>
            <w:shd w:val="clear" w:color="auto" w:fill="D9E1F2"/>
          </w:tcPr>
          <w:p w14:paraId="47A0FA11" w14:textId="77777777" w:rsidR="00155767" w:rsidRPr="00E85F8F" w:rsidRDefault="00000000">
            <w:pPr>
              <w:rPr>
                <w:szCs w:val="18"/>
              </w:rPr>
            </w:pPr>
            <w:r w:rsidRPr="00E85F8F">
              <w:rPr>
                <w:b/>
                <w:szCs w:val="18"/>
              </w:rPr>
              <w:t>Why it matters</w:t>
            </w:r>
          </w:p>
        </w:tc>
      </w:tr>
      <w:tr w:rsidR="00155767" w:rsidRPr="00E85F8F" w14:paraId="5A0FC75B" w14:textId="77777777">
        <w:trPr>
          <w:jc w:val="center"/>
        </w:trPr>
        <w:tc>
          <w:tcPr>
            <w:tcW w:w="2448" w:type="dxa"/>
          </w:tcPr>
          <w:p w14:paraId="574965E5" w14:textId="77777777" w:rsidR="00155767" w:rsidRPr="00E85F8F" w:rsidRDefault="00000000">
            <w:pPr>
              <w:rPr>
                <w:szCs w:val="18"/>
              </w:rPr>
            </w:pPr>
            <w:r w:rsidRPr="00E85F8F">
              <w:rPr>
                <w:szCs w:val="18"/>
              </w:rPr>
              <w:t>Escrow for high-risk transfers</w:t>
            </w:r>
          </w:p>
        </w:tc>
        <w:tc>
          <w:tcPr>
            <w:tcW w:w="3456" w:type="dxa"/>
          </w:tcPr>
          <w:p w14:paraId="35D6F74E" w14:textId="77777777" w:rsidR="00155767" w:rsidRPr="00E85F8F" w:rsidRDefault="00000000">
            <w:pPr>
              <w:rPr>
                <w:szCs w:val="18"/>
              </w:rPr>
            </w:pPr>
            <w:r w:rsidRPr="00E85F8F">
              <w:rPr>
                <w:szCs w:val="18"/>
              </w:rPr>
              <w:t>AMTTPDisputeResolver + AMTTPCore callback</w:t>
            </w:r>
          </w:p>
        </w:tc>
        <w:tc>
          <w:tcPr>
            <w:tcW w:w="3456" w:type="dxa"/>
          </w:tcPr>
          <w:p w14:paraId="12DA4182" w14:textId="40BBDD03" w:rsidR="00155767" w:rsidRPr="00E85F8F" w:rsidRDefault="00000000">
            <w:pPr>
              <w:rPr>
                <w:szCs w:val="18"/>
              </w:rPr>
            </w:pPr>
            <w:r w:rsidRPr="00E85F8F">
              <w:rPr>
                <w:szCs w:val="18"/>
              </w:rPr>
              <w:t xml:space="preserve">Funds cannot leave while evidence is </w:t>
            </w:r>
            <w:r w:rsidR="00E85F8F">
              <w:rPr>
                <w:szCs w:val="18"/>
              </w:rPr>
              <w:t xml:space="preserve">under </w:t>
            </w:r>
            <w:r w:rsidRPr="00E85F8F">
              <w:rPr>
                <w:szCs w:val="18"/>
              </w:rPr>
              <w:t>review</w:t>
            </w:r>
          </w:p>
        </w:tc>
      </w:tr>
      <w:tr w:rsidR="00155767" w:rsidRPr="00E85F8F" w14:paraId="323E3D40" w14:textId="77777777">
        <w:trPr>
          <w:jc w:val="center"/>
        </w:trPr>
        <w:tc>
          <w:tcPr>
            <w:tcW w:w="2448" w:type="dxa"/>
          </w:tcPr>
          <w:p w14:paraId="2A5FD191" w14:textId="77777777" w:rsidR="00155767" w:rsidRPr="00E85F8F" w:rsidRDefault="00000000">
            <w:pPr>
              <w:rPr>
                <w:szCs w:val="18"/>
              </w:rPr>
            </w:pPr>
            <w:r w:rsidRPr="00E85F8F">
              <w:rPr>
                <w:szCs w:val="18"/>
              </w:rPr>
              <w:t>Kleros-style evidence events</w:t>
            </w:r>
          </w:p>
        </w:tc>
        <w:tc>
          <w:tcPr>
            <w:tcW w:w="3456" w:type="dxa"/>
          </w:tcPr>
          <w:p w14:paraId="38F7638B" w14:textId="77777777" w:rsidR="00155767" w:rsidRPr="00E85F8F" w:rsidRDefault="00000000">
            <w:pPr>
              <w:rPr>
                <w:szCs w:val="18"/>
              </w:rPr>
            </w:pPr>
            <w:r w:rsidRPr="00E85F8F">
              <w:rPr>
                <w:szCs w:val="18"/>
              </w:rPr>
              <w:t>MetaEvidence / Evidence-compatible event flow</w:t>
            </w:r>
          </w:p>
        </w:tc>
        <w:tc>
          <w:tcPr>
            <w:tcW w:w="3456" w:type="dxa"/>
          </w:tcPr>
          <w:p w14:paraId="05B2AA5C" w14:textId="77777777" w:rsidR="00155767" w:rsidRPr="00E85F8F" w:rsidRDefault="00000000">
            <w:pPr>
              <w:rPr>
                <w:szCs w:val="18"/>
              </w:rPr>
            </w:pPr>
            <w:r w:rsidRPr="00E85F8F">
              <w:rPr>
                <w:szCs w:val="18"/>
              </w:rPr>
              <w:t>External arbitrators and regulators can inspect the case record</w:t>
            </w:r>
          </w:p>
        </w:tc>
      </w:tr>
      <w:tr w:rsidR="00155767" w:rsidRPr="00E85F8F" w14:paraId="7E61B05A" w14:textId="77777777">
        <w:trPr>
          <w:jc w:val="center"/>
        </w:trPr>
        <w:tc>
          <w:tcPr>
            <w:tcW w:w="2448" w:type="dxa"/>
          </w:tcPr>
          <w:p w14:paraId="18C09213" w14:textId="77777777" w:rsidR="00155767" w:rsidRPr="00E85F8F" w:rsidRDefault="00000000">
            <w:pPr>
              <w:rPr>
                <w:szCs w:val="18"/>
              </w:rPr>
            </w:pPr>
            <w:r w:rsidRPr="00E85F8F">
              <w:rPr>
                <w:szCs w:val="18"/>
              </w:rPr>
              <w:t>Challenge window</w:t>
            </w:r>
          </w:p>
        </w:tc>
        <w:tc>
          <w:tcPr>
            <w:tcW w:w="3456" w:type="dxa"/>
          </w:tcPr>
          <w:p w14:paraId="2EB0A3DE" w14:textId="77777777" w:rsidR="00155767" w:rsidRPr="00E85F8F" w:rsidRDefault="00000000">
            <w:pPr>
              <w:rPr>
                <w:szCs w:val="18"/>
              </w:rPr>
            </w:pPr>
            <w:r w:rsidRPr="00E85F8F">
              <w:rPr>
                <w:szCs w:val="18"/>
              </w:rPr>
              <w:t>Default 24-hour dispute period</w:t>
            </w:r>
          </w:p>
        </w:tc>
        <w:tc>
          <w:tcPr>
            <w:tcW w:w="3456" w:type="dxa"/>
          </w:tcPr>
          <w:p w14:paraId="498B41A2" w14:textId="77777777" w:rsidR="00155767" w:rsidRPr="00E85F8F" w:rsidRDefault="00000000">
            <w:pPr>
              <w:rPr>
                <w:szCs w:val="18"/>
              </w:rPr>
            </w:pPr>
            <w:r w:rsidRPr="00E85F8F">
              <w:rPr>
                <w:szCs w:val="18"/>
              </w:rPr>
              <w:t>Prevents irreversible release before challenge</w:t>
            </w:r>
          </w:p>
        </w:tc>
      </w:tr>
      <w:tr w:rsidR="00155767" w:rsidRPr="00E85F8F" w14:paraId="2C3CA386" w14:textId="77777777">
        <w:trPr>
          <w:jc w:val="center"/>
        </w:trPr>
        <w:tc>
          <w:tcPr>
            <w:tcW w:w="2448" w:type="dxa"/>
          </w:tcPr>
          <w:p w14:paraId="04B757FF" w14:textId="77777777" w:rsidR="00155767" w:rsidRPr="00E85F8F" w:rsidRDefault="00000000">
            <w:pPr>
              <w:rPr>
                <w:szCs w:val="18"/>
              </w:rPr>
            </w:pPr>
            <w:r w:rsidRPr="00E85F8F">
              <w:rPr>
                <w:szCs w:val="18"/>
              </w:rPr>
              <w:t>Approve / reject ruling</w:t>
            </w:r>
          </w:p>
        </w:tc>
        <w:tc>
          <w:tcPr>
            <w:tcW w:w="3456" w:type="dxa"/>
          </w:tcPr>
          <w:p w14:paraId="08B78950" w14:textId="77777777" w:rsidR="00155767" w:rsidRPr="00E85F8F" w:rsidRDefault="00000000">
            <w:pPr>
              <w:rPr>
                <w:szCs w:val="18"/>
              </w:rPr>
            </w:pPr>
            <w:r w:rsidRPr="00E85F8F">
              <w:rPr>
                <w:szCs w:val="18"/>
              </w:rPr>
              <w:t>executeDisputeRuling releases or refunds</w:t>
            </w:r>
          </w:p>
        </w:tc>
        <w:tc>
          <w:tcPr>
            <w:tcW w:w="3456" w:type="dxa"/>
          </w:tcPr>
          <w:p w14:paraId="041B73F8" w14:textId="77777777" w:rsidR="00155767" w:rsidRPr="00E85F8F" w:rsidRDefault="00000000">
            <w:pPr>
              <w:rPr>
                <w:szCs w:val="18"/>
              </w:rPr>
            </w:pPr>
            <w:r w:rsidRPr="00E85F8F">
              <w:rPr>
                <w:szCs w:val="18"/>
              </w:rPr>
              <w:t>Final outcome is deterministic and on-chain</w:t>
            </w:r>
          </w:p>
        </w:tc>
      </w:tr>
    </w:tbl>
    <w:p w14:paraId="2D5A0886" w14:textId="77777777" w:rsidR="00155767" w:rsidRDefault="00155767">
      <w:pPr>
        <w:spacing w:after="40"/>
      </w:pPr>
    </w:p>
    <w:p w14:paraId="7205C309" w14:textId="77777777" w:rsidR="00155767" w:rsidRDefault="00000000">
      <w:pPr>
        <w:spacing w:after="40"/>
      </w:pPr>
      <w:r>
        <w:rPr>
          <w:i/>
          <w:color w:val="444444"/>
        </w:rPr>
        <w:t>Table 1: Dispute-resolution layer. This explicitly covers the Kleros-style AMTTP feature: escrow, evidence submission, challenge window, and deterministic ruling callback.</w:t>
      </w:r>
    </w:p>
    <w:p w14:paraId="62181F9C" w14:textId="77777777" w:rsidR="00155767" w:rsidRDefault="00000000">
      <w:pPr>
        <w:spacing w:after="40"/>
      </w:pPr>
      <w:r>
        <w:rPr>
          <w:b/>
          <w:color w:val="1A2A4A"/>
          <w:sz w:val="23"/>
        </w:rPr>
        <w:t>6. ZK-NAF Privacy Architecture</w:t>
      </w:r>
    </w:p>
    <w:p w14:paraId="52059F38" w14:textId="77777777" w:rsidR="00155767" w:rsidRDefault="00000000">
      <w:pPr>
        <w:spacing w:after="40"/>
      </w:pPr>
      <w:r>
        <w:rPr>
          <w:sz w:val="23"/>
        </w:rP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p w14:paraId="7C6E99A7" w14:textId="77777777" w:rsidR="00155767" w:rsidRDefault="00000000">
      <w:pPr>
        <w:spacing w:after="40"/>
      </w:pPr>
      <w:r>
        <w:rPr>
          <w:sz w:val="23"/>
        </w:rP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p w14:paraId="3A09A95C" w14:textId="45E99609" w:rsidR="00155767" w:rsidRDefault="00E85F8F">
      <w:pPr>
        <w:spacing w:after="40"/>
      </w:pPr>
      <w:r>
        <w:rPr>
          <w:b/>
          <w:color w:val="1A2A4A"/>
          <w:sz w:val="23"/>
        </w:rPr>
        <w:t>N</w:t>
      </w:r>
      <w:r w:rsidR="00000000">
        <w:rPr>
          <w:b/>
          <w:color w:val="1A2A4A"/>
          <w:sz w:val="23"/>
        </w:rPr>
        <w:t xml:space="preserve">ote: </w:t>
      </w:r>
      <w:r w:rsidR="00000000">
        <w:rPr>
          <w:sz w:val="23"/>
        </w:rPr>
        <w:t>This exhibit does not rely on code screenshots alone. Every contract address maps to an independently verifiable public blockchain record at sepolia.etherscan.io. Deployer wallet, deployment timestamps, and verified source code are all publicly inspectable without trusting any claim made in this document.</w:t>
      </w:r>
    </w:p>
    <w:sectPr w:rsidR="00155767"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759035">
    <w:abstractNumId w:val="8"/>
  </w:num>
  <w:num w:numId="2" w16cid:durableId="1644654084">
    <w:abstractNumId w:val="6"/>
  </w:num>
  <w:num w:numId="3" w16cid:durableId="1566910912">
    <w:abstractNumId w:val="5"/>
  </w:num>
  <w:num w:numId="4" w16cid:durableId="1613977358">
    <w:abstractNumId w:val="4"/>
  </w:num>
  <w:num w:numId="5" w16cid:durableId="318728778">
    <w:abstractNumId w:val="7"/>
  </w:num>
  <w:num w:numId="6" w16cid:durableId="969047068">
    <w:abstractNumId w:val="3"/>
  </w:num>
  <w:num w:numId="7" w16cid:durableId="465781478">
    <w:abstractNumId w:val="2"/>
  </w:num>
  <w:num w:numId="8" w16cid:durableId="68576144">
    <w:abstractNumId w:val="1"/>
  </w:num>
  <w:num w:numId="9" w16cid:durableId="181810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767"/>
    <w:rsid w:val="0029639D"/>
    <w:rsid w:val="00326F90"/>
    <w:rsid w:val="00963B0E"/>
    <w:rsid w:val="00AA1D8D"/>
    <w:rsid w:val="00B47730"/>
    <w:rsid w:val="00BF07CB"/>
    <w:rsid w:val="00CB0664"/>
    <w:rsid w:val="00E85F8F"/>
    <w:rsid w:val="00FA30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747E1"/>
  <w14:defaultImageDpi w14:val="300"/>
  <w15:docId w15:val="{642E1D12-AE75-41B7-B2A9-5E4768B5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2026-05-17T21:48:00Z</dcterms:modified>
  <cp:category/>
</cp:coreProperties>
</file>