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Personal Statement</w:t>
      </w:r>
    </w:p>
    <w:p>
      <w:pPr>
        <w:jc w:val="center"/>
      </w:pPr>
      <w:r>
        <w:rPr>
          <w:sz w:val="26"/>
        </w:rPr>
        <w:t>Olusegun Israel Odeyemi</w:t>
      </w:r>
    </w:p>
    <w:p>
      <w:pPr>
        <w:jc w:val="center"/>
      </w:pPr>
      <w:r>
        <w:rPr>
          <w:i/>
          <w:sz w:val="22"/>
        </w:rPr>
        <w:t>UK Global Talent Visa — Digital Technology (Exceptional Promise)</w:t>
      </w:r>
    </w:p>
    <w:p/>
    <w:p>
      <w:pPr>
        <w:spacing w:after="120" w:line="300" w:lineRule="auto"/>
        <w:jc w:val="both"/>
      </w:pPr>
      <w:r>
        <w:t>I am applying under the Global Talent route (Exceptional Promise) as a security engineer and technical founder working at the intersection of cybersecurity, machine learning, and privacy-preserving verification. My case rests on a stack of independently verifiable outputs: a publicly deployed compliance platform, a sole-authored full-stack codebase, 38 Solidity files spanning core contracts, interfaces, and supporting modules, reproducible ML benchmarks, a live enterprise dashboard, security audit artefacts, four research preprints with documented academic adoption, and a UK patent filing. Together, these establish original innovation and a credible trajectory toward leadership in the UK’s digital technology sector.</w:t>
      </w:r>
    </w:p>
    <w:p>
      <w:pPr>
        <w:spacing w:before="160" w:after="40"/>
      </w:pPr>
      <w:r>
        <w:rPr>
          <w:b/>
          <w:color w:val="1F3A5F"/>
          <w:sz w:val="24"/>
        </w:rPr>
        <w:t>Strategic Motivation and the UK Roadmap</w:t>
      </w:r>
    </w:p>
    <w:p>
      <w:pPr>
        <w:spacing w:after="120" w:line="300" w:lineRule="auto"/>
        <w:jc w:val="both"/>
      </w:pPr>
      <w:r>
        <w:t xml:space="preserve">Britain leads globally in regulatory innovation. The </w:t>
      </w:r>
      <w:r>
        <w:rPr>
          <w:b/>
        </w:rPr>
        <w:t>FCA’s</w:t>
      </w:r>
      <w:r>
        <w:t xml:space="preserve"> evolving digital-asset framework, HM Treasury’s stablecoin proposals, and the Bank of England’s wholesale CBDC programme have together created an unmatched demand for the precise category of infrastructure I have built: </w:t>
      </w:r>
      <w:r>
        <w:rPr>
          <w:b/>
        </w:rPr>
        <w:t>crypto-compliance middleware</w:t>
      </w:r>
      <w:r>
        <w:t xml:space="preserve"> that performs pre-settlement, on-chain, privacy-preserving enforcement. AMTTP is engineered as regulator-aligned middleware capable of supporting the </w:t>
      </w:r>
      <w:r>
        <w:rPr>
          <w:b/>
        </w:rPr>
        <w:t>Travel Rule</w:t>
      </w:r>
      <w:r>
        <w:t xml:space="preserve">, MLR 2017 risk-based monitoring, and </w:t>
      </w:r>
      <w:r>
        <w:rPr>
          <w:b/>
        </w:rPr>
        <w:t>MiCA</w:t>
      </w:r>
      <w:r>
        <w:t xml:space="preserve"> obligations natively at the protocol layer.</w:t>
      </w:r>
    </w:p>
    <w:p>
      <w:pPr>
        <w:spacing w:after="120" w:line="300" w:lineRule="auto"/>
        <w:jc w:val="both"/>
      </w:pPr>
      <w:r>
        <w:t xml:space="preserve">My five-year roadmap is to incorporate a UK-headquartered RegTech company in </w:t>
      </w:r>
      <w:r>
        <w:rPr>
          <w:b/>
        </w:rPr>
        <w:t>Derby</w:t>
      </w:r>
      <w:r>
        <w:t xml:space="preserve">, drawing engineering talent from the Midlands technology corridor while engaging directly with London’s regulatory and fintech community. Within that horizon I plan to </w:t>
      </w:r>
      <w:r>
        <w:rPr>
          <w:b/>
        </w:rPr>
        <w:t>create 8–12 skilled engineering and compliance roles in the UK</w:t>
      </w:r>
      <w:r>
        <w:t xml:space="preserve"> (smart-contract, ML, zero-knowledge, and regulatory engineering) and convert AMTTP from a validated open protocol into a licensed </w:t>
      </w:r>
      <w:r>
        <w:rPr>
          <w:b/>
        </w:rPr>
        <w:t>Compliance-as-a-Service</w:t>
      </w:r>
      <w:r>
        <w:t xml:space="preserve"> provider, supplying </w:t>
      </w:r>
      <w:r>
        <w:rPr>
          <w:b/>
        </w:rPr>
        <w:t>crypto-compliance infrastructure</w:t>
      </w:r>
      <w:r>
        <w:t xml:space="preserve"> to UK fintechs, banks, and regulated digital-finance institutions. This directly supports the UK’s positioning as a global hub for safe digital finance.</w:t>
      </w:r>
    </w:p>
    <w:p>
      <w:pPr>
        <w:spacing w:before="160" w:after="40"/>
      </w:pPr>
      <w:r>
        <w:rPr>
          <w:b/>
          <w:color w:val="1F3A5F"/>
          <w:sz w:val="24"/>
        </w:rPr>
        <w:t>Innovation: The AMTTP Protocol</w:t>
      </w:r>
    </w:p>
    <w:p>
      <w:pPr>
        <w:spacing w:after="120" w:line="300" w:lineRule="auto"/>
        <w:jc w:val="both"/>
      </w:pPr>
      <w:r>
        <w:t xml:space="preserve">To address the structural fragmentation in digital-asset compliance, I spent my </w:t>
      </w:r>
      <w:r>
        <w:rPr>
          <w:b/>
        </w:rPr>
        <w:t>first three years in the United Kingdom</w:t>
      </w:r>
      <w:r>
        <w:t xml:space="preserve"> in sustained, independent research and development. Operating outside conventional institutional structures gave me the freedom to approach the problem from first principles. Pursuing this work independently was a deliberate strategic choice: it preserved the architectural autonomy and unencumbered IP position required to bring a complete, founder-owned compliance platform to the UK market. During that period I developed the mathematical and technical foundations of the platform, engineering the risk engine, the smart-contract enforcement layer, and the security architecture. That deliberate technical incubation culminated, from late 2025 onwards, in the public release of my work — live deployment, a public codebase, security-audit validations, formal IP filings, and research preprints. I rely not on conventional job titles, but on what I have demonstrably built, published, and had independently recognised.</w:t>
      </w:r>
    </w:p>
    <w:p>
      <w:pPr>
        <w:spacing w:after="120" w:line="300" w:lineRule="auto"/>
        <w:jc w:val="both"/>
      </w:pPr>
      <w:r>
        <w:t xml:space="preserve">The result is the </w:t>
      </w:r>
      <w:r>
        <w:rPr>
          <w:b/>
        </w:rPr>
        <w:t>Anti-Money Laundering Transaction Transfer Protocol (AMTTP)</w:t>
      </w:r>
      <w:r>
        <w:t xml:space="preserve">. Where conventional tooling acts post-settlement, AMTTP enables risk decisions before transaction finality. As an </w:t>
      </w:r>
      <w:r>
        <w:rPr>
          <w:b/>
        </w:rPr>
        <w:t>independent founder</w:t>
      </w:r>
      <w:r>
        <w:t xml:space="preserve">, working without institutional sponsorship, venture funding, or a delivery team, I architected and delivered the entire system end to end — spanning a Flutter consumer application and </w:t>
      </w:r>
      <w:r>
        <w:rPr>
          <w:b/>
        </w:rPr>
        <w:t>Next.js</w:t>
      </w:r>
      <w:r>
        <w:t xml:space="preserve"> War Room dashboard, a </w:t>
      </w:r>
      <w:r>
        <w:rPr>
          <w:b/>
        </w:rPr>
        <w:t>TypeScript Express.js</w:t>
      </w:r>
      <w:r>
        <w:t xml:space="preserve"> API gateway, a nine-service Python orchestrator, and the underlying smart-contract layer. This is not theoretical work: the platform is live on a Sepolia-backed environment at </w:t>
      </w:r>
      <w:r>
        <w:rPr>
          <w:b/>
        </w:rPr>
        <w:t>amttp.com</w:t>
      </w:r>
      <w:r>
        <w:t>, with public usage attested by independent Cloudflare analytics. Holding sole technical leadership of a system of this scope, while it remained publicly operational, evidences a capacity to lead production-grade digital infrastructure at a level rarely demonstrated outside a funded company.</w:t>
      </w:r>
    </w:p>
    <w:p>
      <w:pPr>
        <w:spacing w:before="160" w:after="40"/>
      </w:pPr>
      <w:r>
        <w:rPr>
          <w:b/>
          <w:color w:val="1F3A5F"/>
          <w:sz w:val="24"/>
        </w:rPr>
        <w:t>Technical Contribution and Security Excellence</w:t>
      </w:r>
    </w:p>
    <w:p>
      <w:pPr>
        <w:spacing w:after="120" w:line="300" w:lineRule="auto"/>
        <w:jc w:val="both"/>
      </w:pPr>
      <w:r>
        <w:t xml:space="preserve">My focus is the harder edge of compliance: privacy and verifiability. Grounded in formal cybersecurity training certified by </w:t>
      </w:r>
      <w:r>
        <w:rPr>
          <w:b/>
        </w:rPr>
        <w:t>CompTIA Security+</w:t>
      </w:r>
      <w:r>
        <w:t xml:space="preserve">, I applied defensive-architecture and threat-modelling discipline across every layer of the stack. Through </w:t>
      </w:r>
      <w:r>
        <w:rPr>
          <w:b/>
        </w:rPr>
        <w:t>zkNAF</w:t>
      </w:r>
      <w:r>
        <w:t xml:space="preserve">, I integrated </w:t>
      </w:r>
      <w:r>
        <w:rPr>
          <w:b/>
        </w:rPr>
        <w:t>Groth16</w:t>
      </w:r>
      <w:r>
        <w:t xml:space="preserve"> zero-knowledge proofs so that sanctions checks and KYC confirmations may be performed without exposing personal data on a public ledger. To establish institutional-grade resilience, I subjected the contract layer to </w:t>
      </w:r>
      <w:r>
        <w:rPr>
          <w:b/>
        </w:rPr>
        <w:t>Slither</w:t>
      </w:r>
      <w:r>
        <w:t xml:space="preserve"> static analysis and </w:t>
      </w:r>
      <w:r>
        <w:rPr>
          <w:b/>
        </w:rPr>
        <w:t>Echidna</w:t>
      </w:r>
      <w:r>
        <w:t xml:space="preserve"> property-based fuzzing at deep iteration sequences, and complemented this with a Hardhat integration suite covering deployment, transfer logic, and policy enforcement. Together with the audited contract suite, these artefacts evidence engineering discipline well beyond the threshold expected at the Promise stage.</w:t>
      </w:r>
    </w:p>
    <w:p>
      <w:pPr>
        <w:spacing w:before="160" w:after="40"/>
      </w:pPr>
      <w:r>
        <w:rPr>
          <w:b/>
          <w:color w:val="1F3A5F"/>
          <w:sz w:val="24"/>
        </w:rPr>
        <w:t>Machine Learning, Operational Efficiency, and Intellectual Property</w:t>
      </w:r>
    </w:p>
    <w:p>
      <w:pPr>
        <w:spacing w:after="120" w:line="300" w:lineRule="auto"/>
        <w:jc w:val="both"/>
      </w:pPr>
      <w:r>
        <w:t xml:space="preserve">I designed and evaluated knowledge-distilled ML models on a dataset of </w:t>
      </w:r>
      <w:r>
        <w:rPr>
          <w:b/>
        </w:rPr>
        <w:t>more than 625,000 Ethereum address samples</w:t>
      </w:r>
      <w:r>
        <w:t xml:space="preserve">, producing distilled </w:t>
      </w:r>
      <w:r>
        <w:rPr>
          <w:b/>
        </w:rPr>
        <w:t>XGBoost</w:t>
      </w:r>
      <w:r>
        <w:t xml:space="preserve"> and </w:t>
      </w:r>
      <w:r>
        <w:rPr>
          <w:b/>
        </w:rPr>
        <w:t>LightGBM</w:t>
      </w:r>
      <w:r>
        <w:t xml:space="preserve"> students that retain strong fraud-detection performance while running on commodity CPUs. This eliminates the dependency on specialist GPU infrastructure and addresses the principal commercial barrier to deploying advanced detection in regulated environments. I protected this innovation by filing </w:t>
      </w:r>
      <w:r>
        <w:rPr>
          <w:b/>
        </w:rPr>
        <w:t>UK Patent Application No. 1026066039</w:t>
      </w:r>
      <w:r>
        <w:t xml:space="preserve"> on </w:t>
      </w:r>
      <w:r>
        <w:rPr>
          <w:b/>
        </w:rPr>
        <w:t>4 March 2026</w:t>
      </w:r>
      <w:r>
        <w:t>, covering the ML risk-scoring pipeline, blockchain compliance architecture, zero-knowledge identity workflows, and adaptive-friction mechanisms.</w:t>
      </w:r>
    </w:p>
    <w:p>
      <w:pPr>
        <w:spacing w:before="160" w:after="40"/>
      </w:pPr>
      <w:r>
        <w:rPr>
          <w:b/>
          <w:color w:val="1F3A5F"/>
          <w:sz w:val="24"/>
        </w:rPr>
        <w:t>Academic Uptake and Outside Contribution</w:t>
      </w:r>
    </w:p>
    <w:p>
      <w:pPr>
        <w:spacing w:after="120" w:line="300" w:lineRule="auto"/>
        <w:jc w:val="both"/>
      </w:pPr>
      <w:r>
        <w:t xml:space="preserve">Although developed independently of any university, the research underpinning AMTTP has attracted early external recognition. Across my broader body of four research preprints, three specific papers — the </w:t>
      </w:r>
      <w:r>
        <w:rPr>
          <w:b/>
        </w:rPr>
        <w:t>Universal Deviation Principle</w:t>
      </w:r>
      <w:r>
        <w:t xml:space="preserve">, </w:t>
      </w:r>
      <w:r>
        <w:rPr>
          <w:b/>
        </w:rPr>
        <w:t>Blind-Spot Decomposition and the Geometry of System Collapse</w:t>
      </w:r>
      <w:r>
        <w:t xml:space="preserve">, and the </w:t>
      </w:r>
      <w:r>
        <w:rPr>
          <w:b/>
        </w:rPr>
        <w:t>AMTTP architecture preprint</w:t>
      </w:r>
      <w:r>
        <w:t xml:space="preserve"> — were adopted in </w:t>
      </w:r>
      <w:r>
        <w:rPr>
          <w:b/>
        </w:rPr>
        <w:t>April 2026</w:t>
      </w:r>
      <w:r>
        <w:t xml:space="preserve"> as recommended readings for the postgraduate course </w:t>
      </w:r>
      <w:r>
        <w:rPr>
          <w:b/>
        </w:rPr>
        <w:t>CPE 604</w:t>
      </w:r>
      <w:r>
        <w:t xml:space="preserve"> by </w:t>
      </w:r>
      <w:r>
        <w:rPr>
          <w:b/>
        </w:rPr>
        <w:t>Dr Sunday Adeola Ajagbe</w:t>
      </w:r>
      <w:r>
        <w:t>, an independent academic with no prior supervisory relationship to me. Course slides and the associated module materials evidence direct integration into a live, accredited postgraduate curriculum. The selection was made on mathematical merit across a domain separate from financial compliance, which independently validates the generalisability of the underlying frameworks.</w:t>
      </w:r>
    </w:p>
    <w:p>
      <w:pPr>
        <w:spacing w:before="160" w:after="40"/>
      </w:pPr>
      <w:r>
        <w:rPr>
          <w:b/>
          <w:color w:val="1F3A5F"/>
          <w:sz w:val="24"/>
        </w:rPr>
        <w:t>Conclusion: Exceptional Promise</w:t>
      </w:r>
    </w:p>
    <w:p>
      <w:pPr>
        <w:spacing w:after="120" w:line="300" w:lineRule="auto"/>
        <w:jc w:val="both"/>
      </w:pPr>
      <w:r>
        <w:t xml:space="preserve">My profile is defined by </w:t>
      </w:r>
      <w:r>
        <w:rPr>
          <w:b/>
        </w:rPr>
        <w:t>sustained independent execution as a founder</w:t>
      </w:r>
      <w:r>
        <w:t xml:space="preserve">. Without a corporate brand or institutional sponsorship, I have produced a coherent body of work — a deployed platform, a public codebase, audited contracts, reproducible ML benchmarks, peer-cited research, and a UK patent filing — that demonstrates a capacity for leadership rather than mere participation. I am seeking endorsement to scale these innovations within the UK ecosystem: to </w:t>
      </w:r>
      <w:r>
        <w:rPr>
          <w:b/>
        </w:rPr>
        <w:t>incorporate in Derby</w:t>
      </w:r>
      <w:r>
        <w:t xml:space="preserve">, to </w:t>
      </w:r>
      <w:r>
        <w:rPr>
          <w:b/>
        </w:rPr>
        <w:t>create skilled engineering and compliance roles</w:t>
      </w:r>
      <w:r>
        <w:t>, to engage UK fintechs and regulators, and to advance the technical standards of British RegTech. The evidence submitted alongside this statement is not background colour for a narrative; it is the substance of the case.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