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624"/>
        <w:gridCol w:w="2239"/>
        <w:gridCol w:w="1676"/>
        <w:gridCol w:w="2006"/>
        <w:gridCol w:w="1749"/>
      </w:tblGrid>
      <w:tr>
        <w:trPr>
          <w:trHeight w:val="618" w:hRule="auto"/>
          <w:tblHeader/>
        </w:trPr>
        header 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Overall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, N = 1,201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High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, N = 41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Middle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, N = 916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Low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, N = 244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618" w:hRule="auto"/>
        </w:trPr>
        body 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Adults living with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Parents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866 (72%)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 (78%)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684 (75%)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150 (61%)</w:t>
            </w:r>
          </w:p>
        </w:tc>
      </w:tr>
      <w:tr>
        <w:trPr>
          <w:trHeight w:val="616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Guardians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271 (23%)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 (20%)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186 (20%)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77 (32%)</w:t>
            </w:r>
          </w:p>
        </w:tc>
      </w:tr>
      <w:tr>
        <w:trPr>
          <w:trHeight w:val="616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Others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64 (5.3%)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 (2.4%)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46 (5.0%)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 (7.0%)</w:t>
            </w:r>
          </w:p>
        </w:tc>
      </w:tr>
      <w:tr>
        <w:trPr>
          <w:trHeight w:val="616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Substance use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 (1.5%)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 (1.2%)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 (2.9%)</w:t>
            </w:r>
          </w:p>
        </w:tc>
      </w:tr>
      <w:tr>
        <w:trPr>
          <w:trHeight w:val="616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Alcohol use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85 (7.1%)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69 (7.5%)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 (6.6%)</w:t>
            </w:r>
          </w:p>
        </w:tc>
      </w:tr>
      <w:tr>
        <w:trPr>
          <w:trHeight w:val="621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Cigarette smoking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48 (4.0%)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 (2.4%)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 (3.9%)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 (4.5%)</w:t>
            </w:r>
          </w:p>
        </w:tc>
      </w:tr>
      <w:tr>
        <w:trPr>
          <w:trHeight w:val="616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Literacy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 (2.4%)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23 (2.5%)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 (2.5%)</w:t>
            </w:r>
          </w:p>
        </w:tc>
      </w:tr>
      <w:tr>
        <w:trPr>
          <w:trHeight w:val="616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Read only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 (0.2%)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 (0.1%)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 (0.4%)</w:t>
            </w:r>
          </w:p>
        </w:tc>
      </w:tr>
      <w:tr>
        <w:trPr>
          <w:trHeight w:val="616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Write only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 (0.5%)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 (0.7%)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</w:tr>
      <w:tr>
        <w:trPr>
          <w:trHeight w:val="616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Write and Read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1,164 (97%)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41 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886 (97%)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237 (97%)</w:t>
            </w:r>
          </w:p>
        </w:tc>
      </w:tr>
      <w:tr>
        <w:trPr>
          <w:trHeight w:val="620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Depression Symptoms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208 (17%)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 (4.9%)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168 (18%)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38 (16%)</w:t>
            </w:r>
          </w:p>
        </w:tc>
      </w:tr>
      <w:tr>
        <w:trPr>
          <w:trHeight w:val="621" w:hRule="auto"/>
        </w:trPr>
        body14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Overweight/Obesity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125 (10%)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 (15%)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102 (11%)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 (7.0%)</w:t>
            </w:r>
          </w:p>
        </w:tc>
      </w:tr>
      <w:tr>
        <w:trPr>
          <w:trHeight w:val="360" w:hRule="auto"/>
        </w:trPr>
        footer 1
        <w:tc>
          <w:tcPr>
            <w:gridSpan w:val="5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 (%)</w:t>
            </w:r>
          </w:p>
        </w:tc>
      </w:tr>
    </w:tbl>
    <w:sectPr w:officer="true">
      <w:pgMar w:header="720" w:bottom="1440" w:top="1440" w:right="1440" w:left="1440" w:footer="720" w:gutter="720"/>
      <w:pgSz w:h="16848" w:w="11952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phantom</cp:lastModifiedBy>
  <cp:revision>9</cp:revision>
  <dcterms:created xsi:type="dcterms:W3CDTF">2017-02-28T11:18:00Z</dcterms:created>
  <dcterms:modified xsi:type="dcterms:W3CDTF">2026-09-29T09:50:10Z</dcterms:modified>
  <cp:category/>
</cp:coreProperties>
</file>