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ANALISIS Y PREDICCION DEL COMPORTAMIENTO DEL ORO EN COLOMBIA</w:t>
      </w:r>
    </w:p>
    <w:p>
      <w:pPr>
        <w:jc w:val="center"/>
      </w:pPr>
      <w:r>
        <w:rPr>
          <w:i/>
          <w:sz w:val="26"/>
        </w:rPr>
        <w:t>Regimenes macrofinancieros, enfermedad holandesa y modelos de aprendizaje automatico</w:t>
      </w:r>
    </w:p>
    <w:p/>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
              <w:rPr>
                <w:b/>
                <w:sz w:val="20"/>
              </w:rPr>
              <w:t>Autores</w:t>
            </w:r>
          </w:p>
        </w:tc>
        <w:tc>
          <w:tcPr>
            <w:tcW w:type="dxa" w:w="4968"/>
            <w:vAlign w:val="center"/>
          </w:tcPr>
          <w:p>
            <w:r/>
            <w:r>
              <w:rPr>
                <w:b w:val="0"/>
                <w:sz w:val="20"/>
              </w:rPr>
              <w:t>Sergio Alejandro Gil Rios</w:t>
              <w:br/>
              <w:t>Jeronimo Novoa Giraldo</w:t>
              <w:br/>
              <w:t>Alejandro Londoño Correa</w:t>
            </w:r>
          </w:p>
        </w:tc>
      </w:tr>
      <w:tr>
        <w:tc>
          <w:tcPr>
            <w:tcW w:type="dxa" w:w="4968"/>
            <w:shd w:fill="D9EAF7"/>
            <w:vAlign w:val="center"/>
          </w:tcPr>
          <w:p>
            <w:r/>
            <w:r>
              <w:rPr>
                <w:b/>
                <w:sz w:val="20"/>
              </w:rPr>
              <w:t>Grupo de investigacion</w:t>
            </w:r>
          </w:p>
        </w:tc>
        <w:tc>
          <w:tcPr>
            <w:tcW w:type="dxa" w:w="4968"/>
            <w:vAlign w:val="center"/>
          </w:tcPr>
          <w:p>
            <w:r/>
            <w:r>
              <w:rPr>
                <w:b w:val="0"/>
                <w:sz w:val="20"/>
              </w:rPr>
              <w:t>GCPDS</w:t>
            </w:r>
          </w:p>
        </w:tc>
      </w:tr>
      <w:tr>
        <w:tc>
          <w:tcPr>
            <w:tcW w:type="dxa" w:w="4968"/>
            <w:shd w:fill="D9EAF7"/>
            <w:vAlign w:val="center"/>
          </w:tcPr>
          <w:p>
            <w:r/>
            <w:r>
              <w:rPr>
                <w:b/>
                <w:sz w:val="20"/>
              </w:rPr>
              <w:t>Materia</w:t>
            </w:r>
          </w:p>
        </w:tc>
        <w:tc>
          <w:tcPr>
            <w:tcW w:type="dxa" w:w="4968"/>
            <w:vAlign w:val="center"/>
          </w:tcPr>
          <w:p>
            <w:r/>
            <w:r>
              <w:rPr>
                <w:b w:val="0"/>
                <w:sz w:val="20"/>
              </w:rPr>
              <w:t>Teoria de aprendizaje de maquinas</w:t>
            </w:r>
          </w:p>
        </w:tc>
      </w:tr>
      <w:tr>
        <w:tc>
          <w:tcPr>
            <w:tcW w:type="dxa" w:w="4968"/>
            <w:shd w:fill="D9EAF7"/>
            <w:vAlign w:val="center"/>
          </w:tcPr>
          <w:p>
            <w:r/>
            <w:r>
              <w:rPr>
                <w:b/>
                <w:sz w:val="20"/>
              </w:rPr>
              <w:t>Docente</w:t>
            </w:r>
          </w:p>
        </w:tc>
        <w:tc>
          <w:tcPr>
            <w:tcW w:type="dxa" w:w="4968"/>
            <w:vAlign w:val="center"/>
          </w:tcPr>
          <w:p>
            <w:r/>
            <w:r>
              <w:rPr>
                <w:b w:val="0"/>
                <w:sz w:val="20"/>
              </w:rPr>
              <w:t>Diego Armando Perez Rosero</w:t>
            </w:r>
          </w:p>
        </w:tc>
      </w:tr>
      <w:tr>
        <w:tc>
          <w:tcPr>
            <w:tcW w:type="dxa" w:w="4968"/>
            <w:shd w:fill="D9EAF7"/>
            <w:vAlign w:val="center"/>
          </w:tcPr>
          <w:p>
            <w:r/>
            <w:r>
              <w:rPr>
                <w:b/>
                <w:sz w:val="20"/>
              </w:rPr>
              <w:t>Fecha</w:t>
            </w:r>
          </w:p>
        </w:tc>
        <w:tc>
          <w:tcPr>
            <w:tcW w:type="dxa" w:w="4968"/>
            <w:vAlign w:val="center"/>
          </w:tcPr>
          <w:p>
            <w:r/>
            <w:r>
              <w:rPr>
                <w:b w:val="0"/>
                <w:sz w:val="20"/>
              </w:rPr>
              <w:t>Junio de 2026</w:t>
            </w:r>
          </w:p>
        </w:tc>
      </w:tr>
    </w:tbl>
    <w:p/>
    <w:p/>
    <w:p/>
    <w:p>
      <w:pPr>
        <w:jc w:val="center"/>
      </w:pPr>
      <w:r>
        <w:rPr>
          <w:b/>
          <w:color w:val="595959"/>
          <w:sz w:val="24"/>
        </w:rPr>
        <w:t>Documento tecnico final</w:t>
      </w:r>
    </w:p>
    <w:p>
      <w:r>
        <w:br w:type="page"/>
      </w:r>
    </w:p>
    <w:p>
      <w:pPr>
        <w:pStyle w:val="Heading1"/>
      </w:pPr>
      <w:r>
        <w:rPr>
          <w:rFonts w:ascii="Aptos Display" w:hAnsi="Aptos Display"/>
          <w:color w:val="1F4E79"/>
        </w:rPr>
        <w:t>Resumen ejecutivo</w:t>
      </w:r>
    </w:p>
    <w:p>
      <w:r>
        <w:t>Este documento presenta la version final del proyecto de analisis y prediccion del comportamiento del oro en Colombia. La propuesta integra una capa no supervisada de regimenes macrofinancieros, construida mediante UMAP y KMeans, con una capa supervisada de modelos de aprendizaje automatico evaluados por validacion walk-forward. La arquitectura final se concentra en el horizonte h21, definido como la direccion del retorno logaritmico futuro del oro a 21 dias. Este horizonte se adopta por la frecuencia efectiva de actualizacion del precio del oro en la base y por su utilidad para capturar cambios mensuales o casi mensuales sin reducir completamente la base diaria.</w:t>
      </w:r>
    </w:p>
    <w:p>
      <w:r>
        <w:t>El resultado principal es un modelo HistGradientBoostingClassifier entrenado sobre el conjunto colombia_plus_global_full, con ponderacion balanced y regimenes UMAP/KMeans 6/7. El modelo alcanza una balanced accuracy media de 87,34 %, accuracy media de 88,77 % y AUC media de 94,78 % sobre 10 bloques de validacion temporal y 1.826 observaciones de prueba. La matriz de confusion agregada muestra 612 verdaderos positivos, 1.009 verdaderos negativos, 145 falsos positivos y 60 falsos negativos.</w:t>
      </w:r>
    </w:p>
    <w:p>
      <w:r>
        <w:t>La contribucion central no es solo predictiva. El proyecto muestra que el comportamiento del oro colombiano se entiende mejor como un sistema de capas: regimen historico, enfermedad holandesa, contexto global, variables locales y memoria del propio oro. La segmentacion por periodo presidencial, enfermedad holandesa y clusters permite identificar donde el modelo es mas confiable y donde la señal predictiva se debilita.</w:t>
      </w:r>
    </w:p>
    <w:p>
      <w:pPr>
        <w:jc w:val="center"/>
      </w:pPr>
      <w:r>
        <w:rPr>
          <w:b/>
          <w:sz w:val="20"/>
        </w:rPr>
        <w:t>Tabla 1. Configuracion ganadora del modelo final</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fill="1F4E79"/>
            <w:vAlign w:val="center"/>
          </w:tcPr>
          <w:p>
            <w:r/>
            <w:r>
              <w:rPr>
                <w:b/>
                <w:color w:val="FFFFFF"/>
                <w:sz w:val="16"/>
              </w:rPr>
              <w:t>Modelo</w:t>
            </w:r>
          </w:p>
        </w:tc>
        <w:tc>
          <w:tcPr>
            <w:tcW w:type="dxa" w:w="1104"/>
            <w:shd w:fill="1F4E79"/>
            <w:vAlign w:val="center"/>
          </w:tcPr>
          <w:p>
            <w:r/>
            <w:r>
              <w:rPr>
                <w:b/>
                <w:color w:val="FFFFFF"/>
                <w:sz w:val="16"/>
              </w:rPr>
              <w:t>Feature set</w:t>
            </w:r>
          </w:p>
        </w:tc>
        <w:tc>
          <w:tcPr>
            <w:tcW w:type="dxa" w:w="1104"/>
            <w:shd w:fill="1F4E79"/>
            <w:vAlign w:val="center"/>
          </w:tcPr>
          <w:p>
            <w:r/>
            <w:r>
              <w:rPr>
                <w:b/>
                <w:color w:val="FFFFFF"/>
                <w:sz w:val="16"/>
              </w:rPr>
              <w:t>Horizonte</w:t>
            </w:r>
          </w:p>
        </w:tc>
        <w:tc>
          <w:tcPr>
            <w:tcW w:type="dxa" w:w="1104"/>
            <w:shd w:fill="1F4E79"/>
            <w:vAlign w:val="center"/>
          </w:tcPr>
          <w:p>
            <w:r/>
            <w:r>
              <w:rPr>
                <w:b/>
                <w:color w:val="FFFFFF"/>
                <w:sz w:val="16"/>
              </w:rPr>
              <w:t>Ponderacion</w:t>
            </w:r>
          </w:p>
        </w:tc>
        <w:tc>
          <w:tcPr>
            <w:tcW w:type="dxa" w:w="1104"/>
            <w:shd w:fill="1F4E79"/>
            <w:vAlign w:val="center"/>
          </w:tcPr>
          <w:p>
            <w:r/>
            <w:r>
              <w:rPr>
                <w:b/>
                <w:color w:val="FFFFFF"/>
                <w:sz w:val="16"/>
              </w:rPr>
              <w:t>BACC</w:t>
            </w:r>
          </w:p>
        </w:tc>
        <w:tc>
          <w:tcPr>
            <w:tcW w:type="dxa" w:w="1104"/>
            <w:shd w:fill="1F4E79"/>
            <w:vAlign w:val="center"/>
          </w:tcPr>
          <w:p>
            <w:r/>
            <w:r>
              <w:rPr>
                <w:b/>
                <w:color w:val="FFFFFF"/>
                <w:sz w:val="16"/>
              </w:rPr>
              <w:t>Accuracy</w:t>
            </w:r>
          </w:p>
        </w:tc>
        <w:tc>
          <w:tcPr>
            <w:tcW w:type="dxa" w:w="1104"/>
            <w:shd w:fill="1F4E79"/>
            <w:vAlign w:val="center"/>
          </w:tcPr>
          <w:p>
            <w:r/>
            <w:r>
              <w:rPr>
                <w:b/>
                <w:color w:val="FFFFFF"/>
                <w:sz w:val="16"/>
              </w:rPr>
              <w:t>AUC</w:t>
            </w:r>
          </w:p>
        </w:tc>
        <w:tc>
          <w:tcPr>
            <w:tcW w:type="dxa" w:w="1104"/>
            <w:shd w:fill="1F4E79"/>
            <w:vAlign w:val="center"/>
          </w:tcPr>
          <w:p>
            <w:r/>
            <w:r>
              <w:rPr>
                <w:b/>
                <w:color w:val="FFFFFF"/>
                <w:sz w:val="16"/>
              </w:rPr>
              <w:t>Umbral medio</w:t>
            </w:r>
          </w:p>
        </w:tc>
        <w:tc>
          <w:tcPr>
            <w:tcW w:type="dxa" w:w="1104"/>
            <w:shd w:fill="1F4E79"/>
            <w:vAlign w:val="center"/>
          </w:tcPr>
          <w:p>
            <w:r/>
            <w:r>
              <w:rPr>
                <w:b/>
                <w:color w:val="FFFFFF"/>
                <w:sz w:val="16"/>
              </w:rPr>
              <w:t>Features finales</w:t>
            </w:r>
          </w:p>
        </w:tc>
      </w:tr>
      <w:tr>
        <w:tc>
          <w:tcPr>
            <w:tcW w:type="dxa" w:w="1104"/>
            <w:vAlign w:val="center"/>
          </w:tcPr>
          <w:p>
            <w:r/>
            <w:r>
              <w:rPr>
                <w:b w:val="0"/>
                <w:sz w:val="16"/>
              </w:rPr>
              <w:t>HistGradientBoostingClassifier</w:t>
            </w:r>
          </w:p>
        </w:tc>
        <w:tc>
          <w:tcPr>
            <w:tcW w:type="dxa" w:w="1104"/>
            <w:vAlign w:val="center"/>
          </w:tcPr>
          <w:p>
            <w:r/>
            <w:r>
              <w:rPr>
                <w:b w:val="0"/>
                <w:sz w:val="16"/>
              </w:rPr>
              <w:t>colombia_plus_global_full</w:t>
            </w:r>
          </w:p>
        </w:tc>
        <w:tc>
          <w:tcPr>
            <w:tcW w:type="dxa" w:w="1104"/>
            <w:vAlign w:val="center"/>
          </w:tcPr>
          <w:p>
            <w:r/>
            <w:r>
              <w:rPr>
                <w:b w:val="0"/>
                <w:sz w:val="16"/>
              </w:rPr>
              <w:t>h21</w:t>
            </w:r>
          </w:p>
        </w:tc>
        <w:tc>
          <w:tcPr>
            <w:tcW w:type="dxa" w:w="1104"/>
            <w:vAlign w:val="center"/>
          </w:tcPr>
          <w:p>
            <w:r/>
            <w:r>
              <w:rPr>
                <w:b w:val="0"/>
                <w:sz w:val="16"/>
              </w:rPr>
              <w:t>balanced</w:t>
            </w:r>
          </w:p>
        </w:tc>
        <w:tc>
          <w:tcPr>
            <w:tcW w:type="dxa" w:w="1104"/>
            <w:vAlign w:val="center"/>
          </w:tcPr>
          <w:p>
            <w:r/>
            <w:r>
              <w:rPr>
                <w:b w:val="0"/>
                <w:sz w:val="16"/>
              </w:rPr>
              <w:t>87.34 %</w:t>
            </w:r>
          </w:p>
        </w:tc>
        <w:tc>
          <w:tcPr>
            <w:tcW w:type="dxa" w:w="1104"/>
            <w:vAlign w:val="center"/>
          </w:tcPr>
          <w:p>
            <w:r/>
            <w:r>
              <w:rPr>
                <w:b w:val="0"/>
                <w:sz w:val="16"/>
              </w:rPr>
              <w:t>88.77 %</w:t>
            </w:r>
          </w:p>
        </w:tc>
        <w:tc>
          <w:tcPr>
            <w:tcW w:type="dxa" w:w="1104"/>
            <w:vAlign w:val="center"/>
          </w:tcPr>
          <w:p>
            <w:r/>
            <w:r>
              <w:rPr>
                <w:b w:val="0"/>
                <w:sz w:val="16"/>
              </w:rPr>
              <w:t>94.78 %</w:t>
            </w:r>
          </w:p>
        </w:tc>
        <w:tc>
          <w:tcPr>
            <w:tcW w:type="dxa" w:w="1104"/>
            <w:vAlign w:val="center"/>
          </w:tcPr>
          <w:p>
            <w:r/>
            <w:r>
              <w:rPr>
                <w:b w:val="0"/>
                <w:sz w:val="16"/>
              </w:rPr>
              <w:t>0,310</w:t>
            </w:r>
          </w:p>
        </w:tc>
        <w:tc>
          <w:tcPr>
            <w:tcW w:type="dxa" w:w="1104"/>
            <w:vAlign w:val="center"/>
          </w:tcPr>
          <w:p>
            <w:r/>
            <w:r>
              <w:rPr>
                <w:b w:val="0"/>
                <w:sz w:val="16"/>
              </w:rPr>
              <w:t>2.200</w:t>
            </w:r>
          </w:p>
        </w:tc>
      </w:tr>
    </w:tbl>
    <w:p/>
    <w:p>
      <w:pPr>
        <w:pStyle w:val="Heading1"/>
      </w:pPr>
      <w:r>
        <w:rPr>
          <w:rFonts w:ascii="Aptos Display" w:hAnsi="Aptos Display"/>
          <w:color w:val="1F4E79"/>
        </w:rPr>
        <w:t>1. Planteamiento del problema</w:t>
      </w:r>
    </w:p>
    <w:p>
      <w:r>
        <w:t>El oro en Colombia responde simultaneamente a dinamicas internacionales, condiciones cambiarias, politica monetaria, precios de commodities y cambios estructurales de la economia. Un modelo puramente estadistico sobre la serie del oro puede perder la interpretacion economica del fenomeno; por el contrario, un analisis puramente econometrico puede no capturar interacciones no lineales y cambios de regimen. Por ello, el problema se formula como una tarea hibrida: identificar regimenes macrofinancieros y usar dichos regimenes, junto con variables locales y globales, para anticipar la direccion futura del oro.</w:t>
      </w:r>
    </w:p>
    <w:p>
      <w:r>
        <w:t>La pregunta de investigacion final es: ¿pueden los regimenes macrofinancieros, la enfermedad holandesa y el contexto global mejorar la interpretacion y la prediccion direccional del oro en Colombia?</w:t>
      </w:r>
    </w:p>
    <w:p>
      <w:pPr>
        <w:pStyle w:val="Heading1"/>
      </w:pPr>
      <w:r>
        <w:rPr>
          <w:rFonts w:ascii="Aptos Display" w:hAnsi="Aptos Display"/>
          <w:color w:val="1F4E79"/>
        </w:rPr>
        <w:t>2. Objetivos</w:t>
      </w:r>
    </w:p>
    <w:p>
      <w:pPr>
        <w:pStyle w:val="Heading2"/>
      </w:pPr>
      <w:r>
        <w:rPr>
          <w:rFonts w:ascii="Aptos Display" w:hAnsi="Aptos Display"/>
          <w:color w:val="2F5496"/>
        </w:rPr>
        <w:t>2.1 Objetivo general</w:t>
      </w:r>
    </w:p>
    <w:p>
      <w:r>
        <w:t>Construir y evaluar una arquitectura de aprendizaje automatico interpretable para analizar y predecir la direccion del precio del oro en Colombia a horizonte h21, integrando regimenes UMAP/KMeans, variables macrofinancieras locales, contexto global y enfermedad holandesa.</w:t>
      </w:r>
    </w:p>
    <w:p>
      <w:pPr>
        <w:pStyle w:val="Heading2"/>
      </w:pPr>
      <w:r>
        <w:rPr>
          <w:rFonts w:ascii="Aptos Display" w:hAnsi="Aptos Display"/>
          <w:color w:val="2F5496"/>
        </w:rPr>
        <w:t>2.2 Objetivos especificos</w:t>
      </w:r>
    </w:p>
    <w:p>
      <w:pPr>
        <w:pStyle w:val="ListBullet"/>
      </w:pPr>
      <w:r>
        <w:t>Tratar y consolidar la base diaria de Colombia con variables macrofinancieras, energeticas, cambiarias y de precios de activos.</w:t>
      </w:r>
    </w:p>
    <w:p>
      <w:pPr>
        <w:pStyle w:val="ListBullet"/>
      </w:pPr>
      <w:r>
        <w:t>Integrar una base anual de enfermedad holandesa usando rezagos para reducir riesgo de fuga temporal.</w:t>
      </w:r>
    </w:p>
    <w:p>
      <w:pPr>
        <w:pStyle w:val="ListBullet"/>
      </w:pPr>
      <w:r>
        <w:t>Construir una capa no supervisada de regimenes con UMAP/KMeans en familia 6/7, validada por silhouette y alineacion estructural.</w:t>
      </w:r>
    </w:p>
    <w:p>
      <w:pPr>
        <w:pStyle w:val="ListBullet"/>
      </w:pPr>
      <w:r>
        <w:t>Comparar reglas deterministicas, modelos de aprendizaje automatico y auditorias de dependencia global mediante validacion walk-forward.</w:t>
      </w:r>
    </w:p>
    <w:p>
      <w:pPr>
        <w:pStyle w:val="ListBullet"/>
      </w:pPr>
      <w:r>
        <w:t>Seleccionar y guardar un modelo final reproducible con sus features, imputador, umbral calibrado y configuracion ganadora.</w:t>
      </w:r>
    </w:p>
    <w:p>
      <w:pPr>
        <w:pStyle w:val="ListBullet"/>
      </w:pPr>
      <w:r>
        <w:t>Analizar el desempeño por periodo presidencial, enfermedad holandesa y clusters, y construir un simulador exploratorio de inversion.</w:t>
      </w:r>
    </w:p>
    <w:p>
      <w:pPr>
        <w:pStyle w:val="Heading1"/>
      </w:pPr>
      <w:r>
        <w:rPr>
          <w:b w:val="0"/>
          <w:i w:val="0"/>
        </w:rPr>
        <w:t>3. Fundamentacion teorica y antecedente metodologico</w:t>
      </w:r>
    </w:p>
    <w:p>
      <w:r>
        <w:rPr>
          <w:b w:val="0"/>
          <w:i w:val="0"/>
        </w:rPr>
        <w:t>La interpretacion del precio del oro en Colombia requiere combinar teoria economica, series temporales, aprendizaje de maquinas e interpretabilidad. El proyecto parte de una idea central: el oro no se explica solo por su memoria estadistica, sino por su interaccion con condiciones cambiarias, monetarias, energeticas, globales y de regimen macrohistorico.</w:t>
      </w:r>
    </w:p>
    <w:p>
      <w:pPr>
        <w:pStyle w:val="Heading2"/>
      </w:pPr>
      <w:r>
        <w:rPr>
          <w:b w:val="0"/>
          <w:i w:val="0"/>
        </w:rPr>
        <w:t>3.1 Enfermedad holandesa como variable contextual</w:t>
      </w:r>
    </w:p>
    <w:p>
      <w:r>
        <w:rPr>
          <w:b w:val="0"/>
          <w:i w:val="0"/>
        </w:rPr>
        <w:t>La enfermedad holandesa describe un mecanismo macroeconomico en el que un auge de recursos naturales puede producir entrada de divisas, apreciacion cambiaria real y perdida de competitividad en sectores transables no extractivos. En este trabajo no se usa como objetivo directo de prediccion, sino como capa contextual y segmentadora. La base anual resume indicios estructurales en un puntaje compuesto DDScore, construido a partir de señales de concentracion extractiva, boom de commodities, apreciacion cambiaria, perdida manufacturera, rentas naturales, terminos de intercambio e inversion extranjera directa. Para evitar fuga de informacion, la version supervisada usa principalmente las variables de enfermedad holandesa rezagadas un año.</w:t>
      </w:r>
    </w:p>
    <w:p>
      <w:pPr>
        <w:pStyle w:val="Heading2"/>
      </w:pPr>
      <w:r>
        <w:rPr>
          <w:b w:val="0"/>
          <w:i w:val="0"/>
        </w:rPr>
        <w:t>3.2 UMAP, clustering y local biplot</w:t>
      </w:r>
    </w:p>
    <w:p>
      <w:r>
        <w:rPr>
          <w:b w:val="0"/>
          <w:i w:val="0"/>
        </w:rPr>
        <w:t>UMAP se utiliza como metodo no lineal de reduccion de dimensionalidad para construir mapas bidimensionales de estados macrofinancieros. Sobre ese mapa se aplica KMeans para identificar grupos de observaciones. La calidad de la agrupacion se evalua con silhouette, donde valores altos indican separacion clara entre clusters y valores cercanos a cero indican fronteras difusas. El local biplot complementa el mapa: dentro de cada cluster estima una estructura local de cargas que ayuda a interpretar que variables empujan la ubicacion de cada regimen.</w:t>
      </w:r>
    </w:p>
    <w:p>
      <w:pPr>
        <w:pStyle w:val="Heading2"/>
      </w:pPr>
      <w:r>
        <w:rPr>
          <w:b w:val="0"/>
          <w:i w:val="0"/>
        </w:rPr>
        <w:t>3.3 Modelos supervisados y caja gris</w:t>
      </w:r>
    </w:p>
    <w:p>
      <w:r>
        <w:rPr>
          <w:b w:val="0"/>
          <w:i w:val="0"/>
        </w:rPr>
        <w:t>La variable objetivo no es el precio en niveles, sino la direccion o el retorno futuro del oro. En terminos generales, el retorno futuro se define como r_t+h = log(P_t+h) - log(P_t). Esta transformacion evita que el modelo parezca bueno solo por copiar la persistencia del precio. En el antecedente del proyecto tambien se exploro una arquitectura de caja gris: un bloque macro lineal captura relaciones estructurales y un modelo no lineal aprende los residuos. Aunque la version final privilegia clasificacion direccional h21, esa idea de caja gris se mantiene como justificacion de interpretabilidad.</w:t>
      </w:r>
    </w:p>
    <w:p>
      <w:pPr>
        <w:pStyle w:val="Heading2"/>
      </w:pPr>
      <w:r>
        <w:rPr>
          <w:b w:val="0"/>
          <w:i w:val="0"/>
        </w:rPr>
        <w:t>3.4 Econometria clasica como base de comparacion</w:t>
      </w:r>
    </w:p>
    <w:p>
      <w:r>
        <w:rPr>
          <w:b w:val="0"/>
          <w:i w:val="0"/>
        </w:rPr>
        <w:t>El documento deterministico previo incluyo ARMA, SARIMAX, VAR, SVAR/IRF, pruebas de Granger, GARCH y un event-study alrededor de cambios fuertes en la tasa de politica monetaria. Esta capa econometrica fue util para establecer comparaciones, diagnosticar la frecuencia efectiva del oro y mostrar que los resultados de modelos diarios deben interpretarse con cautela cuando el precio del oro presenta muchos valores repetidos.</w:t>
      </w:r>
    </w:p>
    <w:p>
      <w:pPr>
        <w:pStyle w:val="Heading2"/>
      </w:pPr>
      <w:r>
        <w:rPr>
          <w:b w:val="0"/>
          <w:i w:val="0"/>
        </w:rPr>
        <w:t>3.5 Implicacion para la version final</w:t>
      </w:r>
    </w:p>
    <w:p>
      <w:r>
        <w:rPr>
          <w:b w:val="0"/>
          <w:i w:val="0"/>
        </w:rPr>
        <w:t>La version final conserva el aprendizaje del antecedente, pero reorganiza el nucleo metodologico: se concentra en h21, validacion walk-forward, regímenes UMAP/KMeans 6/7 y modelos de boosting con contexto local y global. El enfoque final no reemplaza la lectura deterministica; la integra como base conceptual y como evidencia de que los regimenes economicos deben mantenerse en el flujo predictivo.</w:t>
      </w:r>
    </w:p>
    <w:p>
      <w:pPr>
        <w:pStyle w:val="Heading1"/>
      </w:pPr>
      <w:r>
        <w:rPr>
          <w:rFonts w:ascii="Aptos Display" w:hAnsi="Aptos Display"/>
          <w:color w:val="1F4E79"/>
        </w:rPr>
        <w:t>4. Datos utilizados</w:t>
      </w:r>
    </w:p>
    <w:p>
      <w:r>
        <w:t>La base principal contiene 9.283 observaciones entre 2000-01-01 y 2025-05-31. Incluye precio del oro, TRM, tasa de politica monetaria, Brent, cafe, DTF, precio de Bancolombia en USD, inflacion sin alimentos, demanda energetica y precio de bolsa energetica. A esta base se le agrega una base anual de enfermedad holandesa y un contexto global descargado o cargado desde el bundle final.</w:t>
      </w:r>
    </w:p>
    <w:p>
      <w:pPr>
        <w:jc w:val="center"/>
      </w:pPr>
      <w:r>
        <w:rPr>
          <w:b/>
          <w:sz w:val="20"/>
        </w:rPr>
        <w:t>Tabla 2. Diagnostico del objetivo direccional h21</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1F4E79"/>
            <w:vAlign w:val="center"/>
          </w:tcPr>
          <w:p>
            <w:r/>
            <w:r>
              <w:rPr>
                <w:b/>
                <w:color w:val="FFFFFF"/>
                <w:sz w:val="16"/>
              </w:rPr>
              <w:t>Horizonte</w:t>
            </w:r>
          </w:p>
        </w:tc>
        <w:tc>
          <w:tcPr>
            <w:tcW w:type="dxa" w:w="1419"/>
            <w:shd w:fill="1F4E79"/>
            <w:vAlign w:val="center"/>
          </w:tcPr>
          <w:p>
            <w:r/>
            <w:r>
              <w:rPr>
                <w:b/>
                <w:color w:val="FFFFFF"/>
                <w:sz w:val="16"/>
              </w:rPr>
              <w:t>n</w:t>
            </w:r>
          </w:p>
        </w:tc>
        <w:tc>
          <w:tcPr>
            <w:tcW w:type="dxa" w:w="1419"/>
            <w:shd w:fill="1F4E79"/>
            <w:vAlign w:val="center"/>
          </w:tcPr>
          <w:p>
            <w:r/>
            <w:r>
              <w:rPr>
                <w:b/>
                <w:color w:val="FFFFFF"/>
                <w:sz w:val="16"/>
              </w:rPr>
              <w:t>Share sube</w:t>
            </w:r>
          </w:p>
        </w:tc>
        <w:tc>
          <w:tcPr>
            <w:tcW w:type="dxa" w:w="1419"/>
            <w:shd w:fill="1F4E79"/>
            <w:vAlign w:val="center"/>
          </w:tcPr>
          <w:p>
            <w:r/>
            <w:r>
              <w:rPr>
                <w:b/>
                <w:color w:val="FFFFFF"/>
                <w:sz w:val="16"/>
              </w:rPr>
              <w:t>Share no sube</w:t>
            </w:r>
          </w:p>
        </w:tc>
        <w:tc>
          <w:tcPr>
            <w:tcW w:type="dxa" w:w="1419"/>
            <w:shd w:fill="1F4E79"/>
            <w:vAlign w:val="center"/>
          </w:tcPr>
          <w:p>
            <w:r/>
            <w:r>
              <w:rPr>
                <w:b/>
                <w:color w:val="FFFFFF"/>
                <w:sz w:val="16"/>
              </w:rPr>
              <w:t>Share retorno cero</w:t>
            </w:r>
          </w:p>
        </w:tc>
        <w:tc>
          <w:tcPr>
            <w:tcW w:type="dxa" w:w="1419"/>
            <w:shd w:fill="1F4E79"/>
            <w:vAlign w:val="center"/>
          </w:tcPr>
          <w:p>
            <w:r/>
            <w:r>
              <w:rPr>
                <w:b/>
                <w:color w:val="FFFFFF"/>
                <w:sz w:val="16"/>
              </w:rPr>
              <w:t>Media retorno</w:t>
            </w:r>
          </w:p>
        </w:tc>
        <w:tc>
          <w:tcPr>
            <w:tcW w:type="dxa" w:w="1419"/>
            <w:shd w:fill="1F4E79"/>
            <w:vAlign w:val="center"/>
          </w:tcPr>
          <w:p>
            <w:r/>
            <w:r>
              <w:rPr>
                <w:b/>
                <w:color w:val="FFFFFF"/>
                <w:sz w:val="16"/>
              </w:rPr>
              <w:t>Desv. retorno</w:t>
            </w:r>
          </w:p>
        </w:tc>
      </w:tr>
      <w:tr>
        <w:tc>
          <w:tcPr>
            <w:tcW w:type="dxa" w:w="1419"/>
            <w:vAlign w:val="center"/>
          </w:tcPr>
          <w:p>
            <w:r/>
            <w:r>
              <w:rPr>
                <w:b w:val="0"/>
                <w:sz w:val="16"/>
              </w:rPr>
              <w:t>21,000</w:t>
            </w:r>
          </w:p>
        </w:tc>
        <w:tc>
          <w:tcPr>
            <w:tcW w:type="dxa" w:w="1419"/>
            <w:vAlign w:val="center"/>
          </w:tcPr>
          <w:p>
            <w:r/>
            <w:r>
              <w:rPr>
                <w:b w:val="0"/>
                <w:sz w:val="16"/>
              </w:rPr>
              <w:t>9.262,000</w:t>
            </w:r>
          </w:p>
        </w:tc>
        <w:tc>
          <w:tcPr>
            <w:tcW w:type="dxa" w:w="1419"/>
            <w:vAlign w:val="center"/>
          </w:tcPr>
          <w:p>
            <w:r/>
            <w:r>
              <w:rPr>
                <w:b w:val="0"/>
                <w:sz w:val="16"/>
              </w:rPr>
              <w:t>37.89 %</w:t>
            </w:r>
          </w:p>
        </w:tc>
        <w:tc>
          <w:tcPr>
            <w:tcW w:type="dxa" w:w="1419"/>
            <w:vAlign w:val="center"/>
          </w:tcPr>
          <w:p>
            <w:r/>
            <w:r>
              <w:rPr>
                <w:b w:val="0"/>
                <w:sz w:val="16"/>
              </w:rPr>
              <w:t>62.11 %</w:t>
            </w:r>
          </w:p>
        </w:tc>
        <w:tc>
          <w:tcPr>
            <w:tcW w:type="dxa" w:w="1419"/>
            <w:vAlign w:val="center"/>
          </w:tcPr>
          <w:p>
            <w:r/>
            <w:r>
              <w:rPr>
                <w:b w:val="0"/>
                <w:sz w:val="16"/>
              </w:rPr>
              <w:t>31.28 %</w:t>
            </w:r>
          </w:p>
        </w:tc>
        <w:tc>
          <w:tcPr>
            <w:tcW w:type="dxa" w:w="1419"/>
            <w:vAlign w:val="center"/>
          </w:tcPr>
          <w:p>
            <w:r/>
            <w:r>
              <w:rPr>
                <w:b w:val="0"/>
                <w:sz w:val="16"/>
              </w:rPr>
              <w:t>0,0055</w:t>
            </w:r>
          </w:p>
        </w:tc>
        <w:tc>
          <w:tcPr>
            <w:tcW w:type="dxa" w:w="1419"/>
            <w:vAlign w:val="center"/>
          </w:tcPr>
          <w:p>
            <w:r/>
            <w:r>
              <w:rPr>
                <w:b w:val="0"/>
                <w:sz w:val="16"/>
              </w:rPr>
              <w:t>0,0301</w:t>
            </w:r>
          </w:p>
        </w:tc>
      </w:tr>
    </w:tbl>
    <w:p/>
    <w:p>
      <w:pPr>
        <w:pStyle w:val="Heading2"/>
      </w:pPr>
      <w:r>
        <w:rPr>
          <w:rFonts w:ascii="Aptos Display" w:hAnsi="Aptos Display"/>
          <w:color w:val="2F5496"/>
        </w:rPr>
        <w:t>4.1 Variables y conjuntos de caracteristicas</w:t>
      </w:r>
    </w:p>
    <w:p>
      <w:r>
        <w:t>La ingenieria de caracteristicas genera rezagos, retornos logaritmicos, diferencias, cambios porcentuales, medias moviles, volatilidades, distancias a maximos y minimos, dummies de clusters y variables de contexto global. Se definieron conjuntos de variables para evaluar dependencia local, dependencia global, auditorias sin oro directo y auditorias macro-only.</w:t>
      </w:r>
    </w:p>
    <w:p>
      <w:pPr>
        <w:jc w:val="center"/>
      </w:pPr>
      <w:r>
        <w:rPr>
          <w:b/>
          <w:sz w:val="20"/>
        </w:rPr>
        <w:t>Tabla 3. Catalogo de conjuntos de variables</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r/>
            <w:r>
              <w:rPr>
                <w:b/>
                <w:color w:val="FFFFFF"/>
                <w:sz w:val="16"/>
              </w:rPr>
              <w:t>feature_set</w:t>
            </w:r>
          </w:p>
        </w:tc>
        <w:tc>
          <w:tcPr>
            <w:tcW w:type="dxa" w:w="4968"/>
            <w:shd w:fill="1F4E79"/>
            <w:vAlign w:val="center"/>
          </w:tcPr>
          <w:p>
            <w:r/>
            <w:r>
              <w:rPr>
                <w:b/>
                <w:color w:val="FFFFFF"/>
                <w:sz w:val="16"/>
              </w:rPr>
              <w:t>n_features</w:t>
            </w:r>
          </w:p>
        </w:tc>
      </w:tr>
      <w:tr>
        <w:tc>
          <w:tcPr>
            <w:tcW w:type="dxa" w:w="4968"/>
            <w:vAlign w:val="center"/>
          </w:tcPr>
          <w:p>
            <w:r/>
            <w:r>
              <w:rPr>
                <w:b w:val="0"/>
                <w:sz w:val="16"/>
              </w:rPr>
              <w:t>colombia_only</w:t>
            </w:r>
          </w:p>
        </w:tc>
        <w:tc>
          <w:tcPr>
            <w:tcW w:type="dxa" w:w="4968"/>
            <w:vAlign w:val="center"/>
          </w:tcPr>
          <w:p>
            <w:r/>
            <w:r>
              <w:rPr>
                <w:b w:val="0"/>
                <w:sz w:val="16"/>
              </w:rPr>
              <w:t>278</w:t>
            </w:r>
          </w:p>
        </w:tc>
      </w:tr>
      <w:tr>
        <w:tc>
          <w:tcPr>
            <w:tcW w:type="dxa" w:w="4968"/>
            <w:vAlign w:val="center"/>
          </w:tcPr>
          <w:p>
            <w:r/>
            <w:r>
              <w:rPr>
                <w:b w:val="0"/>
                <w:sz w:val="16"/>
              </w:rPr>
              <w:t>colombia_plus_global_compact</w:t>
            </w:r>
          </w:p>
        </w:tc>
        <w:tc>
          <w:tcPr>
            <w:tcW w:type="dxa" w:w="4968"/>
            <w:vAlign w:val="center"/>
          </w:tcPr>
          <w:p>
            <w:r/>
            <w:r>
              <w:rPr>
                <w:b w:val="0"/>
                <w:sz w:val="16"/>
              </w:rPr>
              <w:t>528</w:t>
            </w:r>
          </w:p>
        </w:tc>
      </w:tr>
      <w:tr>
        <w:tc>
          <w:tcPr>
            <w:tcW w:type="dxa" w:w="4968"/>
            <w:vAlign w:val="center"/>
          </w:tcPr>
          <w:p>
            <w:r/>
            <w:r>
              <w:rPr>
                <w:b w:val="0"/>
                <w:sz w:val="16"/>
              </w:rPr>
              <w:t>colombia_plus_global_full</w:t>
            </w:r>
          </w:p>
        </w:tc>
        <w:tc>
          <w:tcPr>
            <w:tcW w:type="dxa" w:w="4968"/>
            <w:vAlign w:val="center"/>
          </w:tcPr>
          <w:p>
            <w:r/>
            <w:r>
              <w:rPr>
                <w:b w:val="0"/>
                <w:sz w:val="16"/>
              </w:rPr>
              <w:t>2.269</w:t>
            </w:r>
          </w:p>
        </w:tc>
      </w:tr>
      <w:tr>
        <w:tc>
          <w:tcPr>
            <w:tcW w:type="dxa" w:w="4968"/>
            <w:vAlign w:val="center"/>
          </w:tcPr>
          <w:p>
            <w:r/>
            <w:r>
              <w:rPr>
                <w:b w:val="0"/>
                <w:sz w:val="16"/>
              </w:rPr>
              <w:t>global_no_gold_direct</w:t>
            </w:r>
          </w:p>
        </w:tc>
        <w:tc>
          <w:tcPr>
            <w:tcW w:type="dxa" w:w="4968"/>
            <w:vAlign w:val="center"/>
          </w:tcPr>
          <w:p>
            <w:r/>
            <w:r>
              <w:rPr>
                <w:b w:val="0"/>
                <w:sz w:val="16"/>
              </w:rPr>
              <w:t>456</w:t>
            </w:r>
          </w:p>
        </w:tc>
      </w:tr>
      <w:tr>
        <w:tc>
          <w:tcPr>
            <w:tcW w:type="dxa" w:w="4968"/>
            <w:vAlign w:val="center"/>
          </w:tcPr>
          <w:p>
            <w:r/>
            <w:r>
              <w:rPr>
                <w:b w:val="0"/>
                <w:sz w:val="16"/>
              </w:rPr>
              <w:t>global_no_metals</w:t>
            </w:r>
          </w:p>
        </w:tc>
        <w:tc>
          <w:tcPr>
            <w:tcW w:type="dxa" w:w="4968"/>
            <w:vAlign w:val="center"/>
          </w:tcPr>
          <w:p>
            <w:r/>
            <w:r>
              <w:rPr>
                <w:b w:val="0"/>
                <w:sz w:val="16"/>
              </w:rPr>
              <w:t>366</w:t>
            </w:r>
          </w:p>
        </w:tc>
      </w:tr>
      <w:tr>
        <w:tc>
          <w:tcPr>
            <w:tcW w:type="dxa" w:w="4968"/>
            <w:vAlign w:val="center"/>
          </w:tcPr>
          <w:p>
            <w:r/>
            <w:r>
              <w:rPr>
                <w:b w:val="0"/>
                <w:sz w:val="16"/>
              </w:rPr>
              <w:t>global_macro_only</w:t>
            </w:r>
          </w:p>
        </w:tc>
        <w:tc>
          <w:tcPr>
            <w:tcW w:type="dxa" w:w="4968"/>
            <w:vAlign w:val="center"/>
          </w:tcPr>
          <w:p>
            <w:r/>
            <w:r>
              <w:rPr>
                <w:b w:val="0"/>
                <w:sz w:val="16"/>
              </w:rPr>
              <w:t>1.188</w:t>
            </w:r>
          </w:p>
        </w:tc>
      </w:tr>
    </w:tbl>
    <w:p/>
    <w:p>
      <w:pPr>
        <w:pStyle w:val="Heading1"/>
      </w:pPr>
      <w:r>
        <w:rPr>
          <w:rFonts w:ascii="Aptos Display" w:hAnsi="Aptos Display"/>
          <w:color w:val="1F4E79"/>
        </w:rPr>
        <w:t>5. Metodologia</w:t>
      </w:r>
    </w:p>
    <w:p>
      <w:pPr>
        <w:pStyle w:val="Heading2"/>
      </w:pPr>
      <w:r>
        <w:rPr>
          <w:rFonts w:ascii="Aptos Display" w:hAnsi="Aptos Display"/>
          <w:color w:val="2F5496"/>
        </w:rPr>
        <w:t>5.1 Tratamiento de datos</w:t>
      </w:r>
    </w:p>
    <w:p>
      <w:r>
        <w:t>El flujo normaliza nombres de columnas, convierte fechas, ordena las observaciones, limpia infinitos y valores extremos, reporta cobertura y guarda un informe de saneamiento de variables. Las variables anuales de enfermedad holandesa se integran por año y se usan principalmente rezagadas un año para reducir fuga de informacion.</w:t>
      </w:r>
    </w:p>
    <w:p>
      <w:pPr>
        <w:pStyle w:val="Heading2"/>
      </w:pPr>
      <w:r>
        <w:rPr>
          <w:rFonts w:ascii="Aptos Display" w:hAnsi="Aptos Display"/>
          <w:color w:val="2F5496"/>
        </w:rPr>
        <w:t>5.2 Objetivo de prediccion</w:t>
      </w:r>
    </w:p>
    <w:p>
      <w:r>
        <w:t>La variable objetivo final es binaria: sube o no sube el oro a horizonte h21. Se calcula como el signo del retorno logaritmico futuro entre el precio del oro en t y t+21. El uso de retornos evita que el modelo parezca bueno simplemente por copiar el nivel persistente del precio.</w:t>
      </w:r>
    </w:p>
    <w:p>
      <w:pPr>
        <w:pStyle w:val="Heading2"/>
      </w:pPr>
      <w:r>
        <w:rPr>
          <w:b w:val="0"/>
          <w:i w:val="0"/>
        </w:rPr>
        <w:t>5.3 Resultados no supervisados y asociacion estructural</w:t>
      </w:r>
    </w:p>
    <w:p>
      <w:r>
        <w:rPr>
          <w:b w:val="0"/>
          <w:i w:val="0"/>
        </w:rPr>
        <w:t>La capa no supervisada no se entiende como un paso decorativo. Aporta variables de regimen que luego entran a la etapa supervisada y, sobre todo, permite diferenciar entre estados macrohistoricos y shocks de corto plazo. El antecedente del proyecto evaluo dos vistas: una en valores absolutos y otra en cambios. Esta distincion se mantiene en la lectura final porque cada vista captura una semantica distinta del sistema economico.</w:t>
      </w:r>
    </w:p>
    <w:p>
      <w:pPr>
        <w:pStyle w:val="Heading3"/>
      </w:pPr>
      <w:r>
        <w:rPr>
          <w:b w:val="0"/>
          <w:i w:val="0"/>
        </w:rPr>
        <w:t>5.3.1 Vista en valores absolutos: regimenes macrohistoricos</w:t>
      </w:r>
    </w:p>
    <w:p>
      <w:r>
        <w:rPr>
          <w:b w:val="0"/>
          <w:i w:val="0"/>
        </w:rPr>
        <w:t>Los valores absolutos capturan niveles de TRM, politica monetaria, energia, commodities, inflacion, oro y variables estructurales. En el documento previo, la optimizacion amplia por silhouette habia seleccionado 10 clusters para esta vista, con n_neighbors = 80 y min_dist = 0,15. Ese resultado mostro una separacion visual fuerte y una asociacion clara con periodos historicos. Las corridas profundas posteriores indicaron que la familia 6/7 clusters era mas defendible para el analisis economico y para la relacion con enfermedad holandesa; por eso el cierre final restringe el modelo a esa familia, sin perder la interpretacion heredada de los mapas exploratorios.</w:t>
      </w:r>
    </w:p>
    <w:p>
      <w:pPr>
        <w:pStyle w:val="Heading3"/>
      </w:pPr>
      <w:r>
        <w:rPr>
          <w:b w:val="0"/>
          <w:i w:val="0"/>
        </w:rPr>
        <w:t>5.3.2 Vista en cambios: familias de shocks</w:t>
      </w:r>
    </w:p>
    <w:p>
      <w:r>
        <w:rPr>
          <w:b w:val="0"/>
          <w:i w:val="0"/>
        </w:rPr>
        <w:t>Los cambios diarios o de corto plazo capturan desplazamientos y shocks. En el antecedente, la mejor combinacion para esta vista encontro dos clusters; la separacion visual fue buena, pero la separacion en variables originales fue menor. Esto es coherente: los shocks de corto plazo no tienen por que alinearse con gobiernos o etiquetas anuales de enfermedad holandesa. En la version final, esta vista se conserva como informacion de dinamica y no como sustituto de los regimenes macrohistoricos.</w:t>
      </w:r>
    </w:p>
    <w:p>
      <w:pPr>
        <w:jc w:val="center"/>
      </w:pPr>
      <w:r>
        <w:rPr>
          <w:b w:val="0"/>
          <w:i/>
        </w:rPr>
        <w:t>Tabla S5-1. Configuraciones no supervisadas del antecedente exploratorio</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tcPr>
          <w:p>
            <w:pPr>
              <w:jc w:val="center"/>
            </w:pPr>
            <w:r>
              <w:rPr>
                <w:b/>
                <w:sz w:val="17"/>
              </w:rPr>
              <w:t>Vista</w:t>
            </w:r>
          </w:p>
        </w:tc>
        <w:tc>
          <w:tcPr>
            <w:tcW w:type="dxa" w:w="1419"/>
            <w:vAlign w:val="center"/>
          </w:tcPr>
          <w:p>
            <w:pPr>
              <w:jc w:val="center"/>
            </w:pPr>
            <w:r>
              <w:rPr>
                <w:b/>
                <w:sz w:val="17"/>
              </w:rPr>
              <w:t>k</w:t>
            </w:r>
          </w:p>
        </w:tc>
        <w:tc>
          <w:tcPr>
            <w:tcW w:type="dxa" w:w="1419"/>
            <w:vAlign w:val="center"/>
          </w:tcPr>
          <w:p>
            <w:pPr>
              <w:jc w:val="center"/>
            </w:pPr>
            <w:r>
              <w:rPr>
                <w:b/>
                <w:sz w:val="17"/>
              </w:rPr>
              <w:t>Vecinos</w:t>
            </w:r>
          </w:p>
        </w:tc>
        <w:tc>
          <w:tcPr>
            <w:tcW w:type="dxa" w:w="1419"/>
            <w:vAlign w:val="center"/>
          </w:tcPr>
          <w:p>
            <w:pPr>
              <w:jc w:val="center"/>
            </w:pPr>
            <w:r>
              <w:rPr>
                <w:b/>
                <w:sz w:val="17"/>
              </w:rPr>
              <w:t>min_dist</w:t>
            </w:r>
          </w:p>
        </w:tc>
        <w:tc>
          <w:tcPr>
            <w:tcW w:type="dxa" w:w="1419"/>
            <w:vAlign w:val="center"/>
          </w:tcPr>
          <w:p>
            <w:pPr>
              <w:jc w:val="center"/>
            </w:pPr>
            <w:r>
              <w:rPr>
                <w:b/>
                <w:sz w:val="17"/>
              </w:rPr>
              <w:t>Sil. UMAP</w:t>
            </w:r>
          </w:p>
        </w:tc>
        <w:tc>
          <w:tcPr>
            <w:tcW w:type="dxa" w:w="1419"/>
            <w:vAlign w:val="center"/>
          </w:tcPr>
          <w:p>
            <w:pPr>
              <w:jc w:val="center"/>
            </w:pPr>
            <w:r>
              <w:rPr>
                <w:b/>
                <w:sz w:val="17"/>
              </w:rPr>
              <w:t>Sil. features</w:t>
            </w:r>
          </w:p>
        </w:tc>
        <w:tc>
          <w:tcPr>
            <w:tcW w:type="dxa" w:w="1419"/>
            <w:vAlign w:val="center"/>
          </w:tcPr>
          <w:p>
            <w:pPr>
              <w:jc w:val="center"/>
            </w:pPr>
            <w:r>
              <w:rPr>
                <w:b/>
                <w:sz w:val="17"/>
              </w:rPr>
              <w:t>Score</w:t>
            </w:r>
          </w:p>
        </w:tc>
      </w:tr>
      <w:tr>
        <w:tc>
          <w:tcPr>
            <w:tcW w:type="dxa" w:w="1419"/>
            <w:vAlign w:val="center"/>
          </w:tcPr>
          <w:p>
            <w:pPr>
              <w:jc w:val="left"/>
            </w:pPr>
            <w:r>
              <w:rPr>
                <w:sz w:val="17"/>
              </w:rPr>
              <w:t>Valores absolutos</w:t>
            </w:r>
          </w:p>
        </w:tc>
        <w:tc>
          <w:tcPr>
            <w:tcW w:type="dxa" w:w="1419"/>
            <w:vAlign w:val="center"/>
          </w:tcPr>
          <w:p>
            <w:pPr>
              <w:jc w:val="left"/>
            </w:pPr>
            <w:r>
              <w:rPr>
                <w:sz w:val="17"/>
              </w:rPr>
              <w:t>10</w:t>
            </w:r>
          </w:p>
        </w:tc>
        <w:tc>
          <w:tcPr>
            <w:tcW w:type="dxa" w:w="1419"/>
            <w:vAlign w:val="center"/>
          </w:tcPr>
          <w:p>
            <w:pPr>
              <w:jc w:val="left"/>
            </w:pPr>
            <w:r>
              <w:rPr>
                <w:sz w:val="17"/>
              </w:rPr>
              <w:t>80</w:t>
            </w:r>
          </w:p>
        </w:tc>
        <w:tc>
          <w:tcPr>
            <w:tcW w:type="dxa" w:w="1419"/>
            <w:vAlign w:val="center"/>
          </w:tcPr>
          <w:p>
            <w:pPr>
              <w:jc w:val="left"/>
            </w:pPr>
            <w:r>
              <w:rPr>
                <w:sz w:val="17"/>
              </w:rPr>
              <w:t>0,15</w:t>
            </w:r>
          </w:p>
        </w:tc>
        <w:tc>
          <w:tcPr>
            <w:tcW w:type="dxa" w:w="1419"/>
            <w:vAlign w:val="center"/>
          </w:tcPr>
          <w:p>
            <w:pPr>
              <w:jc w:val="left"/>
            </w:pPr>
            <w:r>
              <w:rPr>
                <w:sz w:val="17"/>
              </w:rPr>
              <w:t>0,658</w:t>
            </w:r>
          </w:p>
        </w:tc>
        <w:tc>
          <w:tcPr>
            <w:tcW w:type="dxa" w:w="1419"/>
            <w:vAlign w:val="center"/>
          </w:tcPr>
          <w:p>
            <w:pPr>
              <w:jc w:val="left"/>
            </w:pPr>
            <w:r>
              <w:rPr>
                <w:sz w:val="17"/>
              </w:rPr>
              <w:t>0,339</w:t>
            </w:r>
          </w:p>
        </w:tc>
        <w:tc>
          <w:tcPr>
            <w:tcW w:type="dxa" w:w="1419"/>
            <w:vAlign w:val="center"/>
          </w:tcPr>
          <w:p>
            <w:pPr>
              <w:jc w:val="left"/>
            </w:pPr>
            <w:r>
              <w:rPr>
                <w:sz w:val="17"/>
              </w:rPr>
              <w:t>0,563</w:t>
            </w:r>
          </w:p>
        </w:tc>
      </w:tr>
      <w:tr>
        <w:tc>
          <w:tcPr>
            <w:tcW w:type="dxa" w:w="1419"/>
            <w:vAlign w:val="center"/>
          </w:tcPr>
          <w:p>
            <w:pPr>
              <w:jc w:val="left"/>
            </w:pPr>
            <w:r>
              <w:rPr>
                <w:sz w:val="17"/>
              </w:rPr>
              <w:t>Cambios diarios</w:t>
            </w:r>
          </w:p>
        </w:tc>
        <w:tc>
          <w:tcPr>
            <w:tcW w:type="dxa" w:w="1419"/>
            <w:vAlign w:val="center"/>
          </w:tcPr>
          <w:p>
            <w:pPr>
              <w:jc w:val="left"/>
            </w:pPr>
            <w:r>
              <w:rPr>
                <w:sz w:val="17"/>
              </w:rPr>
              <w:t>2</w:t>
            </w:r>
          </w:p>
        </w:tc>
        <w:tc>
          <w:tcPr>
            <w:tcW w:type="dxa" w:w="1419"/>
            <w:vAlign w:val="center"/>
          </w:tcPr>
          <w:p>
            <w:pPr>
              <w:jc w:val="left"/>
            </w:pPr>
            <w:r>
              <w:rPr>
                <w:sz w:val="17"/>
              </w:rPr>
              <w:t>30</w:t>
            </w:r>
          </w:p>
        </w:tc>
        <w:tc>
          <w:tcPr>
            <w:tcW w:type="dxa" w:w="1419"/>
            <w:vAlign w:val="center"/>
          </w:tcPr>
          <w:p>
            <w:pPr>
              <w:jc w:val="left"/>
            </w:pPr>
            <w:r>
              <w:rPr>
                <w:sz w:val="17"/>
              </w:rPr>
              <w:t>0,00</w:t>
            </w:r>
          </w:p>
        </w:tc>
        <w:tc>
          <w:tcPr>
            <w:tcW w:type="dxa" w:w="1419"/>
            <w:vAlign w:val="center"/>
          </w:tcPr>
          <w:p>
            <w:pPr>
              <w:jc w:val="left"/>
            </w:pPr>
            <w:r>
              <w:rPr>
                <w:sz w:val="17"/>
              </w:rPr>
              <w:t>0,656</w:t>
            </w:r>
          </w:p>
        </w:tc>
        <w:tc>
          <w:tcPr>
            <w:tcW w:type="dxa" w:w="1419"/>
            <w:vAlign w:val="center"/>
          </w:tcPr>
          <w:p>
            <w:pPr>
              <w:jc w:val="left"/>
            </w:pPr>
            <w:r>
              <w:rPr>
                <w:sz w:val="17"/>
              </w:rPr>
              <w:t>0,181</w:t>
            </w:r>
          </w:p>
        </w:tc>
        <w:tc>
          <w:tcPr>
            <w:tcW w:type="dxa" w:w="1419"/>
            <w:vAlign w:val="center"/>
          </w:tcPr>
          <w:p>
            <w:pPr>
              <w:jc w:val="left"/>
            </w:pPr>
            <w:r>
              <w:rPr>
                <w:sz w:val="17"/>
              </w:rPr>
              <w:t>0,513</w:t>
            </w:r>
          </w:p>
        </w:tc>
      </w:tr>
    </w:tbl>
    <w:p>
      <w:r>
        <w:rPr>
          <w:b w:val="0"/>
          <w:i w:val="0"/>
        </w:rPr>
        <w:t>La tabla anterior resume el antecedente amplio. La tabla siguiente corresponde al cierre final del proyecto: la familia 6/7 se selecciono por su utilidad para representar regimen economico y su alineacion con enfermedad holandesa y postura monetaria.</w:t>
      </w:r>
    </w:p>
    <w:p>
      <w:pPr>
        <w:jc w:val="center"/>
      </w:pPr>
      <w:r>
        <w:rPr>
          <w:b w:val="0"/>
          <w:i/>
        </w:rPr>
        <w:t>Tabla S5-2. Diseño final de regimenes UMAP/KMeans 6/7</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vAlign w:val="center"/>
          </w:tcPr>
          <w:p>
            <w:pPr>
              <w:jc w:val="center"/>
            </w:pPr>
            <w:r>
              <w:rPr>
                <w:b/>
                <w:sz w:val="17"/>
              </w:rPr>
              <w:t>Embedding</w:t>
            </w:r>
          </w:p>
        </w:tc>
        <w:tc>
          <w:tcPr>
            <w:tcW w:type="dxa" w:w="1242"/>
            <w:vAlign w:val="center"/>
          </w:tcPr>
          <w:p>
            <w:pPr>
              <w:jc w:val="center"/>
            </w:pPr>
            <w:r>
              <w:rPr>
                <w:b/>
                <w:sz w:val="17"/>
              </w:rPr>
              <w:t>k seleccionado</w:t>
            </w:r>
          </w:p>
        </w:tc>
        <w:tc>
          <w:tcPr>
            <w:tcW w:type="dxa" w:w="1242"/>
            <w:vAlign w:val="center"/>
          </w:tcPr>
          <w:p>
            <w:pPr>
              <w:jc w:val="center"/>
            </w:pPr>
            <w:r>
              <w:rPr>
                <w:b/>
                <w:sz w:val="17"/>
              </w:rPr>
              <w:t>Vecinos</w:t>
            </w:r>
          </w:p>
        </w:tc>
        <w:tc>
          <w:tcPr>
            <w:tcW w:type="dxa" w:w="1242"/>
            <w:vAlign w:val="center"/>
          </w:tcPr>
          <w:p>
            <w:pPr>
              <w:jc w:val="center"/>
            </w:pPr>
            <w:r>
              <w:rPr>
                <w:b/>
                <w:sz w:val="17"/>
              </w:rPr>
              <w:t>min_dist</w:t>
            </w:r>
          </w:p>
        </w:tc>
        <w:tc>
          <w:tcPr>
            <w:tcW w:type="dxa" w:w="1242"/>
            <w:vAlign w:val="center"/>
          </w:tcPr>
          <w:p>
            <w:pPr>
              <w:jc w:val="center"/>
            </w:pPr>
            <w:r>
              <w:rPr>
                <w:b/>
                <w:sz w:val="17"/>
              </w:rPr>
              <w:t>Silhouette</w:t>
            </w:r>
          </w:p>
        </w:tc>
        <w:tc>
          <w:tcPr>
            <w:tcW w:type="dxa" w:w="1242"/>
            <w:vAlign w:val="center"/>
          </w:tcPr>
          <w:p>
            <w:pPr>
              <w:jc w:val="center"/>
            </w:pPr>
            <w:r>
              <w:rPr>
                <w:b/>
                <w:sz w:val="17"/>
              </w:rPr>
              <w:t>NMI DD</w:t>
            </w:r>
          </w:p>
        </w:tc>
        <w:tc>
          <w:tcPr>
            <w:tcW w:type="dxa" w:w="1242"/>
            <w:vAlign w:val="center"/>
          </w:tcPr>
          <w:p>
            <w:pPr>
              <w:jc w:val="center"/>
            </w:pPr>
            <w:r>
              <w:rPr>
                <w:b/>
                <w:sz w:val="17"/>
              </w:rPr>
              <w:t>NMI politica</w:t>
            </w:r>
          </w:p>
        </w:tc>
        <w:tc>
          <w:tcPr>
            <w:tcW w:type="dxa" w:w="1242"/>
            <w:vAlign w:val="center"/>
          </w:tcPr>
          <w:p>
            <w:pPr>
              <w:jc w:val="center"/>
            </w:pPr>
            <w:r>
              <w:rPr>
                <w:b/>
                <w:sz w:val="17"/>
              </w:rPr>
              <w:t>Score</w:t>
            </w:r>
          </w:p>
        </w:tc>
      </w:tr>
      <w:tr>
        <w:tc>
          <w:tcPr>
            <w:tcW w:type="dxa" w:w="1242"/>
            <w:vAlign w:val="center"/>
          </w:tcPr>
          <w:p>
            <w:pPr>
              <w:jc w:val="left"/>
            </w:pPr>
            <w:r>
              <w:rPr>
                <w:sz w:val="17"/>
              </w:rPr>
              <w:t>ABS</w:t>
            </w:r>
          </w:p>
        </w:tc>
        <w:tc>
          <w:tcPr>
            <w:tcW w:type="dxa" w:w="1242"/>
            <w:vAlign w:val="center"/>
          </w:tcPr>
          <w:p>
            <w:pPr>
              <w:jc w:val="left"/>
            </w:pPr>
            <w:r>
              <w:rPr>
                <w:sz w:val="17"/>
              </w:rPr>
              <w:t>7</w:t>
            </w:r>
          </w:p>
        </w:tc>
        <w:tc>
          <w:tcPr>
            <w:tcW w:type="dxa" w:w="1242"/>
            <w:vAlign w:val="center"/>
          </w:tcPr>
          <w:p>
            <w:pPr>
              <w:jc w:val="left"/>
            </w:pPr>
            <w:r>
              <w:rPr>
                <w:sz w:val="17"/>
              </w:rPr>
              <w:t>75</w:t>
            </w:r>
          </w:p>
        </w:tc>
        <w:tc>
          <w:tcPr>
            <w:tcW w:type="dxa" w:w="1242"/>
            <w:vAlign w:val="center"/>
          </w:tcPr>
          <w:p>
            <w:pPr>
              <w:jc w:val="left"/>
            </w:pPr>
            <w:r>
              <w:rPr>
                <w:sz w:val="17"/>
              </w:rPr>
              <w:t>0.10</w:t>
            </w:r>
          </w:p>
        </w:tc>
        <w:tc>
          <w:tcPr>
            <w:tcW w:type="dxa" w:w="1242"/>
            <w:vAlign w:val="center"/>
          </w:tcPr>
          <w:p>
            <w:pPr>
              <w:jc w:val="left"/>
            </w:pPr>
            <w:r>
              <w:rPr>
                <w:sz w:val="17"/>
              </w:rPr>
              <w:t>0.470</w:t>
            </w:r>
          </w:p>
        </w:tc>
        <w:tc>
          <w:tcPr>
            <w:tcW w:type="dxa" w:w="1242"/>
            <w:vAlign w:val="center"/>
          </w:tcPr>
          <w:p>
            <w:pPr>
              <w:jc w:val="left"/>
            </w:pPr>
            <w:r>
              <w:rPr>
                <w:sz w:val="17"/>
              </w:rPr>
              <w:t>0.262</w:t>
            </w:r>
          </w:p>
        </w:tc>
        <w:tc>
          <w:tcPr>
            <w:tcW w:type="dxa" w:w="1242"/>
            <w:vAlign w:val="center"/>
          </w:tcPr>
          <w:p>
            <w:pPr>
              <w:jc w:val="left"/>
            </w:pPr>
            <w:r>
              <w:rPr>
                <w:sz w:val="17"/>
              </w:rPr>
              <w:t>0.069</w:t>
            </w:r>
          </w:p>
        </w:tc>
        <w:tc>
          <w:tcPr>
            <w:tcW w:type="dxa" w:w="1242"/>
            <w:vAlign w:val="center"/>
          </w:tcPr>
          <w:p>
            <w:pPr>
              <w:jc w:val="left"/>
            </w:pPr>
            <w:r>
              <w:rPr>
                <w:sz w:val="17"/>
              </w:rPr>
              <w:t>0.516</w:t>
            </w:r>
          </w:p>
        </w:tc>
      </w:tr>
      <w:tr>
        <w:tc>
          <w:tcPr>
            <w:tcW w:type="dxa" w:w="1242"/>
            <w:vAlign w:val="center"/>
          </w:tcPr>
          <w:p>
            <w:pPr>
              <w:jc w:val="left"/>
            </w:pPr>
            <w:r>
              <w:rPr>
                <w:sz w:val="17"/>
              </w:rPr>
              <w:t>CHG</w:t>
            </w:r>
          </w:p>
        </w:tc>
        <w:tc>
          <w:tcPr>
            <w:tcW w:type="dxa" w:w="1242"/>
            <w:vAlign w:val="center"/>
          </w:tcPr>
          <w:p>
            <w:pPr>
              <w:jc w:val="left"/>
            </w:pPr>
            <w:r>
              <w:rPr>
                <w:sz w:val="17"/>
              </w:rPr>
              <w:t>7</w:t>
            </w:r>
          </w:p>
        </w:tc>
        <w:tc>
          <w:tcPr>
            <w:tcW w:type="dxa" w:w="1242"/>
            <w:vAlign w:val="center"/>
          </w:tcPr>
          <w:p>
            <w:pPr>
              <w:jc w:val="left"/>
            </w:pPr>
            <w:r>
              <w:rPr>
                <w:sz w:val="17"/>
              </w:rPr>
              <w:t>15</w:t>
            </w:r>
          </w:p>
        </w:tc>
        <w:tc>
          <w:tcPr>
            <w:tcW w:type="dxa" w:w="1242"/>
            <w:vAlign w:val="center"/>
          </w:tcPr>
          <w:p>
            <w:pPr>
              <w:jc w:val="left"/>
            </w:pPr>
            <w:r>
              <w:rPr>
                <w:sz w:val="17"/>
              </w:rPr>
              <w:t>0.00</w:t>
            </w:r>
          </w:p>
        </w:tc>
        <w:tc>
          <w:tcPr>
            <w:tcW w:type="dxa" w:w="1242"/>
            <w:vAlign w:val="center"/>
          </w:tcPr>
          <w:p>
            <w:pPr>
              <w:jc w:val="left"/>
            </w:pPr>
            <w:r>
              <w:rPr>
                <w:sz w:val="17"/>
              </w:rPr>
              <w:t>0.433</w:t>
            </w:r>
          </w:p>
        </w:tc>
        <w:tc>
          <w:tcPr>
            <w:tcW w:type="dxa" w:w="1242"/>
            <w:vAlign w:val="center"/>
          </w:tcPr>
          <w:p>
            <w:pPr>
              <w:jc w:val="left"/>
            </w:pPr>
            <w:r>
              <w:rPr>
                <w:sz w:val="17"/>
              </w:rPr>
              <w:t>0.024</w:t>
            </w:r>
          </w:p>
        </w:tc>
        <w:tc>
          <w:tcPr>
            <w:tcW w:type="dxa" w:w="1242"/>
            <w:vAlign w:val="center"/>
          </w:tcPr>
          <w:p>
            <w:pPr>
              <w:jc w:val="left"/>
            </w:pPr>
            <w:r>
              <w:rPr>
                <w:sz w:val="17"/>
              </w:rPr>
              <w:t>0.063</w:t>
            </w:r>
          </w:p>
        </w:tc>
        <w:tc>
          <w:tcPr>
            <w:tcW w:type="dxa" w:w="1242"/>
            <w:vAlign w:val="center"/>
          </w:tcPr>
          <w:p>
            <w:pPr>
              <w:jc w:val="left"/>
            </w:pPr>
            <w:r>
              <w:rPr>
                <w:sz w:val="17"/>
              </w:rPr>
              <w:t>0.443</w:t>
            </w:r>
          </w:p>
        </w:tc>
      </w:tr>
    </w:tbl>
    <w:p>
      <w:pPr>
        <w:pStyle w:val="Heading3"/>
      </w:pPr>
      <w:r>
        <w:rPr>
          <w:b w:val="0"/>
          <w:i w:val="0"/>
        </w:rPr>
        <w:t>5.3.3 Evidencia grafica del analisis no supervisado</w:t>
      </w:r>
    </w:p>
    <w:p>
      <w:r>
        <w:rPr>
          <w:b w:val="0"/>
          <w:i w:val="0"/>
        </w:rPr>
        <w:t>Las figuras siguientes recuperan el contenido grafico central de la seccion no supervisada del documento previo: optimizacion por silhouette, mapas UMAP/KMeans, local biplot y asociacion con periodo presidencial y enfermedad holandesa. Se incluyen porque explican visualmente por que la capa de regimen es necesaria y no debe ocultarse en el modelo final.</w:t>
      </w:r>
    </w:p>
    <w:p>
      <w:pPr>
        <w:jc w:val="center"/>
      </w:pPr>
      <w:r>
        <w:drawing>
          <wp:inline xmlns:a="http://schemas.openxmlformats.org/drawingml/2006/main" xmlns:pic="http://schemas.openxmlformats.org/drawingml/2006/picture">
            <wp:extent cx="5669280" cy="1760972"/>
            <wp:docPr id="18" name="Picture 18"/>
            <wp:cNvGraphicFramePr>
              <a:graphicFrameLocks noChangeAspect="1"/>
            </wp:cNvGraphicFramePr>
            <a:graphic>
              <a:graphicData uri="http://schemas.openxmlformats.org/drawingml/2006/picture">
                <pic:pic>
                  <pic:nvPicPr>
                    <pic:cNvPr id="0" name="old_sec5_fig1_optimization.png"/>
                    <pic:cNvPicPr/>
                  </pic:nvPicPr>
                  <pic:blipFill>
                    <a:blip r:embed="rId28"/>
                    <a:stretch>
                      <a:fillRect/>
                    </a:stretch>
                  </pic:blipFill>
                  <pic:spPr>
                    <a:xfrm>
                      <a:off x="0" y="0"/>
                      <a:ext cx="5669280" cy="1760972"/>
                    </a:xfrm>
                    <a:prstGeom prst="rect"/>
                  </pic:spPr>
                </pic:pic>
              </a:graphicData>
            </a:graphic>
          </wp:inline>
        </w:drawing>
      </w:r>
    </w:p>
    <w:p>
      <w:pPr>
        <w:jc w:val="center"/>
      </w:pPr>
      <w:r>
        <w:rPr>
          <w:i/>
          <w:sz w:val="18"/>
        </w:rPr>
        <w:t>Figura S5-1. Optimizacion por silhouette en valores absolutos y cambios.</w:t>
      </w:r>
    </w:p>
    <w:p>
      <w:pPr>
        <w:jc w:val="center"/>
      </w:pPr>
      <w:r>
        <w:drawing>
          <wp:inline xmlns:a="http://schemas.openxmlformats.org/drawingml/2006/main" xmlns:pic="http://schemas.openxmlformats.org/drawingml/2006/picture">
            <wp:extent cx="5669280" cy="2172458"/>
            <wp:docPr id="19" name="Picture 19"/>
            <wp:cNvGraphicFramePr>
              <a:graphicFrameLocks noChangeAspect="1"/>
            </wp:cNvGraphicFramePr>
            <a:graphic>
              <a:graphicData uri="http://schemas.openxmlformats.org/drawingml/2006/picture">
                <pic:pic>
                  <pic:nvPicPr>
                    <pic:cNvPr id="0" name="old_sec5_fig2_umap_clusters.png"/>
                    <pic:cNvPicPr/>
                  </pic:nvPicPr>
                  <pic:blipFill>
                    <a:blip r:embed="rId29"/>
                    <a:stretch>
                      <a:fillRect/>
                    </a:stretch>
                  </pic:blipFill>
                  <pic:spPr>
                    <a:xfrm>
                      <a:off x="0" y="0"/>
                      <a:ext cx="5669280" cy="2172458"/>
                    </a:xfrm>
                    <a:prstGeom prst="rect"/>
                  </pic:spPr>
                </pic:pic>
              </a:graphicData>
            </a:graphic>
          </wp:inline>
        </w:drawing>
      </w:r>
    </w:p>
    <w:p>
      <w:pPr>
        <w:jc w:val="center"/>
      </w:pPr>
      <w:r>
        <w:rPr>
          <w:i/>
          <w:sz w:val="18"/>
        </w:rPr>
        <w:t>Figura S5-2. Mapas UMAP/KMeans de la exploracion no supervisada.</w:t>
      </w:r>
    </w:p>
    <w:p>
      <w:pPr>
        <w:jc w:val="center"/>
      </w:pPr>
      <w:r>
        <w:drawing>
          <wp:inline xmlns:a="http://schemas.openxmlformats.org/drawingml/2006/main" xmlns:pic="http://schemas.openxmlformats.org/drawingml/2006/picture">
            <wp:extent cx="5669280" cy="2255567"/>
            <wp:docPr id="20" name="Picture 20"/>
            <wp:cNvGraphicFramePr>
              <a:graphicFrameLocks noChangeAspect="1"/>
            </wp:cNvGraphicFramePr>
            <a:graphic>
              <a:graphicData uri="http://schemas.openxmlformats.org/drawingml/2006/picture">
                <pic:pic>
                  <pic:nvPicPr>
                    <pic:cNvPr id="0" name="old_sec5_fig3_local_biplot.png"/>
                    <pic:cNvPicPr/>
                  </pic:nvPicPr>
                  <pic:blipFill>
                    <a:blip r:embed="rId30"/>
                    <a:stretch>
                      <a:fillRect/>
                    </a:stretch>
                  </pic:blipFill>
                  <pic:spPr>
                    <a:xfrm>
                      <a:off x="0" y="0"/>
                      <a:ext cx="5669280" cy="2255567"/>
                    </a:xfrm>
                    <a:prstGeom prst="rect"/>
                  </pic:spPr>
                </pic:pic>
              </a:graphicData>
            </a:graphic>
          </wp:inline>
        </w:drawing>
      </w:r>
    </w:p>
    <w:p>
      <w:pPr>
        <w:jc w:val="center"/>
      </w:pPr>
      <w:r>
        <w:rPr>
          <w:i/>
          <w:sz w:val="18"/>
        </w:rPr>
        <w:t>Figura S5-3. Local biplot: interpretacion local de variables por cluster.</w:t>
      </w:r>
    </w:p>
    <w:p>
      <w:pPr>
        <w:jc w:val="center"/>
      </w:pPr>
      <w:r>
        <w:drawing>
          <wp:inline xmlns:a="http://schemas.openxmlformats.org/drawingml/2006/main" xmlns:pic="http://schemas.openxmlformats.org/drawingml/2006/picture">
            <wp:extent cx="5669280" cy="2814344"/>
            <wp:docPr id="21" name="Picture 21"/>
            <wp:cNvGraphicFramePr>
              <a:graphicFrameLocks noChangeAspect="1"/>
            </wp:cNvGraphicFramePr>
            <a:graphic>
              <a:graphicData uri="http://schemas.openxmlformats.org/drawingml/2006/picture">
                <pic:pic>
                  <pic:nvPicPr>
                    <pic:cNvPr id="0" name="old_sec5_fig4_assoc_abs.png"/>
                    <pic:cNvPicPr/>
                  </pic:nvPicPr>
                  <pic:blipFill>
                    <a:blip r:embed="rId31"/>
                    <a:stretch>
                      <a:fillRect/>
                    </a:stretch>
                  </pic:blipFill>
                  <pic:spPr>
                    <a:xfrm>
                      <a:off x="0" y="0"/>
                      <a:ext cx="5669280" cy="2814344"/>
                    </a:xfrm>
                    <a:prstGeom prst="rect"/>
                  </pic:spPr>
                </pic:pic>
              </a:graphicData>
            </a:graphic>
          </wp:inline>
        </w:drawing>
      </w:r>
    </w:p>
    <w:p>
      <w:pPr>
        <w:jc w:val="center"/>
      </w:pPr>
      <w:r>
        <w:rPr>
          <w:i/>
          <w:sz w:val="18"/>
        </w:rPr>
        <w:t>Figura S5-4. Asociacion de clusters en niveles con periodo presidencial y enfermedad holandesa.</w:t>
      </w:r>
    </w:p>
    <w:p>
      <w:pPr>
        <w:jc w:val="center"/>
      </w:pPr>
      <w:r>
        <w:drawing>
          <wp:inline xmlns:a="http://schemas.openxmlformats.org/drawingml/2006/main" xmlns:pic="http://schemas.openxmlformats.org/drawingml/2006/picture">
            <wp:extent cx="5669280" cy="1726024"/>
            <wp:docPr id="22" name="Picture 22"/>
            <wp:cNvGraphicFramePr>
              <a:graphicFrameLocks noChangeAspect="1"/>
            </wp:cNvGraphicFramePr>
            <a:graphic>
              <a:graphicData uri="http://schemas.openxmlformats.org/drawingml/2006/picture">
                <pic:pic>
                  <pic:nvPicPr>
                    <pic:cNvPr id="0" name="old_sec5_fig5_assoc_changes.png"/>
                    <pic:cNvPicPr/>
                  </pic:nvPicPr>
                  <pic:blipFill>
                    <a:blip r:embed="rId32"/>
                    <a:stretch>
                      <a:fillRect/>
                    </a:stretch>
                  </pic:blipFill>
                  <pic:spPr>
                    <a:xfrm>
                      <a:off x="0" y="0"/>
                      <a:ext cx="5669280" cy="1726024"/>
                    </a:xfrm>
                    <a:prstGeom prst="rect"/>
                  </pic:spPr>
                </pic:pic>
              </a:graphicData>
            </a:graphic>
          </wp:inline>
        </w:drawing>
      </w:r>
    </w:p>
    <w:p>
      <w:pPr>
        <w:jc w:val="center"/>
      </w:pPr>
      <w:r>
        <w:rPr>
          <w:i/>
          <w:sz w:val="18"/>
        </w:rPr>
        <w:t>Figura S5-5. Asociacion de clusters de cambios con periodo presidencial y enfermedad holandesa.</w:t>
      </w:r>
    </w:p>
    <w:p>
      <w:pPr>
        <w:pStyle w:val="Heading3"/>
      </w:pPr>
      <w:r>
        <w:rPr>
          <w:b w:val="0"/>
          <w:i w:val="0"/>
        </w:rPr>
        <w:t>5.3.4 Lectura economica de los mapas</w:t>
      </w:r>
    </w:p>
    <w:p>
      <w:r>
        <w:rPr>
          <w:b w:val="0"/>
          <w:i w:val="0"/>
        </w:rPr>
        <w:t>La lectura conjunta es clara: los clusters en niveles se comportan como regimenes macrohistoricos, porque se asocian con periodos presidenciales y con categorias de enfermedad holandesa. En cambio, los clusters de cambios no quedan organizados por gobiernos ni por clasificaciones anuales; capturan shocks de corto plazo. Esta diferencia justifica que la version final use ambos tipos de informacion: niveles para estructura y cambios para dinamica.</w:t>
      </w:r>
    </w:p>
    <w:p>
      <w:r>
        <w:rPr>
          <w:b w:val="0"/>
          <w:i w:val="0"/>
        </w:rPr>
        <w:t>En consecuencia, el modelo supervisado no recibe solo variables originales, sino tambien señales de regimen. La capa UMAP/KMeans permite pasar de una prediccion aislada a una interpretacion condicionada por contexto: no solo se pregunta si el oro sube o no sube, sino en que regimen economico, bajo que configuracion de enfermedad holandesa y durante que periodo historico esa prediccion es mas confiable.</w:t>
      </w:r>
    </w:p>
    <w:p>
      <w:pPr>
        <w:pStyle w:val="Heading2"/>
      </w:pPr>
      <w:r>
        <w:rPr>
          <w:rFonts w:ascii="Aptos Display" w:hAnsi="Aptos Display"/>
          <w:color w:val="2F5496"/>
        </w:rPr>
        <w:t>5.4 Modelos y validacion</w:t>
      </w:r>
    </w:p>
    <w:p>
      <w:r>
        <w:t>La validacion es walk-forward temporal. En cada bloque se entrena con pasado, se calibra el umbral con un tramo reciente y se evalua en futuro. La metrica principal es balanced accuracy, porque permite evaluar de forma simetrica el acierto en la clase sube y en la clase no sube.</w:t>
      </w:r>
    </w:p>
    <w:p>
      <w:r>
        <w:t>La grilla final combina modelos de boosting, modelos de referencia y auditorias. Los modelos fuertes son HistGradientBoostingClassifier y XGBClassifier; RandomForest y LogisticRegression se conservan como referencias. Tambien se comparan reglas deterministicas basadas en momentum, medias moviles, TRM y Brent.</w:t>
      </w:r>
    </w:p>
    <w:p>
      <w:pPr>
        <w:pStyle w:val="Heading1"/>
        <w:pageBreakBefore/>
      </w:pPr>
      <w:r>
        <w:rPr>
          <w:rFonts w:ascii="Aptos Display" w:hAnsi="Aptos Display"/>
          <w:color w:val="1F4E79"/>
        </w:rPr>
        <w:t>6. Resultados predictivos</w:t>
      </w:r>
    </w:p>
    <w:p>
      <w:pPr>
        <w:pStyle w:val="Heading2"/>
      </w:pPr>
      <w:r>
        <w:rPr>
          <w:rFonts w:ascii="Aptos Display" w:hAnsi="Aptos Display"/>
          <w:color w:val="2F5496"/>
        </w:rPr>
        <w:t>6.1 Ranking de modelos</w:t>
      </w:r>
    </w:p>
    <w:p>
      <w:pPr>
        <w:jc w:val="center"/>
      </w:pPr>
      <w:r>
        <w:rPr>
          <w:b/>
          <w:sz w:val="20"/>
        </w:rPr>
        <w:t>Tabla 5. Top 10 de modelos por balanced accuracy</w:t>
      </w:r>
    </w:p>
    <w:tbl>
      <w:tblPr>
        <w:tblStyle w:val="TableGrid"/>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shd w:fill="1F4E79"/>
            <w:vAlign w:val="center"/>
          </w:tcPr>
          <w:p>
            <w:r/>
            <w:r>
              <w:rPr>
                <w:b/>
                <w:color w:val="FFFFFF"/>
                <w:sz w:val="14"/>
              </w:rPr>
              <w:t>Modelo</w:t>
            </w:r>
          </w:p>
        </w:tc>
        <w:tc>
          <w:tcPr>
            <w:tcW w:type="dxa" w:w="903"/>
            <w:shd w:fill="1F4E79"/>
            <w:vAlign w:val="center"/>
          </w:tcPr>
          <w:p>
            <w:r/>
            <w:r>
              <w:rPr>
                <w:b/>
                <w:color w:val="FFFFFF"/>
                <w:sz w:val="14"/>
              </w:rPr>
              <w:t>Conjunto de variables</w:t>
            </w:r>
          </w:p>
        </w:tc>
        <w:tc>
          <w:tcPr>
            <w:tcW w:type="dxa" w:w="903"/>
            <w:shd w:fill="1F4E79"/>
            <w:vAlign w:val="center"/>
          </w:tcPr>
          <w:p>
            <w:r/>
            <w:r>
              <w:rPr>
                <w:b/>
                <w:color w:val="FFFFFF"/>
                <w:sz w:val="14"/>
              </w:rPr>
              <w:t>Ventana</w:t>
            </w:r>
          </w:p>
        </w:tc>
        <w:tc>
          <w:tcPr>
            <w:tcW w:type="dxa" w:w="903"/>
            <w:shd w:fill="1F4E79"/>
            <w:vAlign w:val="center"/>
          </w:tcPr>
          <w:p>
            <w:r/>
            <w:r>
              <w:rPr>
                <w:b/>
                <w:color w:val="FFFFFF"/>
                <w:sz w:val="14"/>
              </w:rPr>
              <w:t>Ponderacion</w:t>
            </w:r>
          </w:p>
        </w:tc>
        <w:tc>
          <w:tcPr>
            <w:tcW w:type="dxa" w:w="903"/>
            <w:shd w:fill="1F4E79"/>
            <w:vAlign w:val="center"/>
          </w:tcPr>
          <w:p>
            <w:r/>
            <w:r>
              <w:rPr>
                <w:b/>
                <w:color w:val="FFFFFF"/>
                <w:sz w:val="14"/>
              </w:rPr>
              <w:t>Accuracy</w:t>
            </w:r>
          </w:p>
        </w:tc>
        <w:tc>
          <w:tcPr>
            <w:tcW w:type="dxa" w:w="903"/>
            <w:shd w:fill="1F4E79"/>
            <w:vAlign w:val="center"/>
          </w:tcPr>
          <w:p>
            <w:r/>
            <w:r>
              <w:rPr>
                <w:b/>
                <w:color w:val="FFFFFF"/>
                <w:sz w:val="14"/>
              </w:rPr>
              <w:t>BACC</w:t>
            </w:r>
          </w:p>
        </w:tc>
        <w:tc>
          <w:tcPr>
            <w:tcW w:type="dxa" w:w="903"/>
            <w:shd w:fill="1F4E79"/>
            <w:vAlign w:val="center"/>
          </w:tcPr>
          <w:p>
            <w:r/>
            <w:r>
              <w:rPr>
                <w:b/>
                <w:color w:val="FFFFFF"/>
                <w:sz w:val="14"/>
              </w:rPr>
              <w:t>AUC</w:t>
            </w:r>
          </w:p>
        </w:tc>
        <w:tc>
          <w:tcPr>
            <w:tcW w:type="dxa" w:w="903"/>
            <w:shd w:fill="1F4E79"/>
            <w:vAlign w:val="center"/>
          </w:tcPr>
          <w:p>
            <w:r/>
            <w:r>
              <w:rPr>
                <w:b/>
                <w:color w:val="FFFFFF"/>
                <w:sz w:val="14"/>
              </w:rPr>
              <w:t>Recall sube</w:t>
            </w:r>
          </w:p>
        </w:tc>
        <w:tc>
          <w:tcPr>
            <w:tcW w:type="dxa" w:w="903"/>
            <w:shd w:fill="1F4E79"/>
            <w:vAlign w:val="center"/>
          </w:tcPr>
          <w:p>
            <w:r/>
            <w:r>
              <w:rPr>
                <w:b/>
                <w:color w:val="FFFFFF"/>
                <w:sz w:val="14"/>
              </w:rPr>
              <w:t>Recall no sube</w:t>
            </w:r>
          </w:p>
        </w:tc>
        <w:tc>
          <w:tcPr>
            <w:tcW w:type="dxa" w:w="903"/>
            <w:shd w:fill="1F4E79"/>
            <w:vAlign w:val="center"/>
          </w:tcPr>
          <w:p>
            <w:r/>
            <w:r>
              <w:rPr>
                <w:b/>
                <w:color w:val="FFFFFF"/>
                <w:sz w:val="14"/>
              </w:rPr>
              <w:t>Bloques</w:t>
            </w:r>
          </w:p>
        </w:tc>
        <w:tc>
          <w:tcPr>
            <w:tcW w:type="dxa" w:w="903"/>
            <w:shd w:fill="1F4E79"/>
            <w:vAlign w:val="center"/>
          </w:tcPr>
          <w:p>
            <w:r/>
            <w:r>
              <w:rPr>
                <w:b/>
                <w:color w:val="FFFFFF"/>
                <w:sz w:val="14"/>
              </w:rPr>
              <w:t>n test</w:t>
            </w:r>
          </w:p>
        </w:tc>
      </w:tr>
      <w:tr>
        <w:tc>
          <w:tcPr>
            <w:tcW w:type="dxa" w:w="903"/>
            <w:vAlign w:val="center"/>
          </w:tcPr>
          <w:p>
            <w:r/>
            <w:r>
              <w:rPr>
                <w:b w:val="0"/>
                <w:sz w:val="14"/>
              </w:rPr>
              <w:t>HistGradientBoostingClassifier</w:t>
            </w:r>
          </w:p>
        </w:tc>
        <w:tc>
          <w:tcPr>
            <w:tcW w:type="dxa" w:w="903"/>
            <w:vAlign w:val="center"/>
          </w:tcPr>
          <w:p>
            <w:r/>
            <w:r>
              <w:rPr>
                <w:b w:val="0"/>
                <w:sz w:val="14"/>
              </w:rPr>
              <w:t>colombia_plus_global_full</w:t>
            </w:r>
          </w:p>
        </w:tc>
        <w:tc>
          <w:tcPr>
            <w:tcW w:type="dxa" w:w="903"/>
            <w:vAlign w:val="center"/>
          </w:tcPr>
          <w:p>
            <w:r/>
            <w:r>
              <w:rPr>
                <w:b w:val="0"/>
                <w:sz w:val="14"/>
              </w:rPr>
              <w:t>all</w:t>
            </w:r>
          </w:p>
        </w:tc>
        <w:tc>
          <w:tcPr>
            <w:tcW w:type="dxa" w:w="903"/>
            <w:vAlign w:val="center"/>
          </w:tcPr>
          <w:p>
            <w:r/>
            <w:r>
              <w:rPr>
                <w:b w:val="0"/>
                <w:sz w:val="14"/>
              </w:rPr>
              <w:t>balanced</w:t>
            </w:r>
          </w:p>
        </w:tc>
        <w:tc>
          <w:tcPr>
            <w:tcW w:type="dxa" w:w="903"/>
            <w:vAlign w:val="center"/>
          </w:tcPr>
          <w:p>
            <w:r/>
            <w:r>
              <w:rPr>
                <w:b w:val="0"/>
                <w:sz w:val="14"/>
              </w:rPr>
              <w:t>88.77 %</w:t>
            </w:r>
          </w:p>
        </w:tc>
        <w:tc>
          <w:tcPr>
            <w:tcW w:type="dxa" w:w="903"/>
            <w:vAlign w:val="center"/>
          </w:tcPr>
          <w:p>
            <w:r/>
            <w:r>
              <w:rPr>
                <w:b w:val="0"/>
                <w:sz w:val="14"/>
              </w:rPr>
              <w:t>87.34 %</w:t>
            </w:r>
          </w:p>
        </w:tc>
        <w:tc>
          <w:tcPr>
            <w:tcW w:type="dxa" w:w="903"/>
            <w:vAlign w:val="center"/>
          </w:tcPr>
          <w:p>
            <w:r/>
            <w:r>
              <w:rPr>
                <w:b w:val="0"/>
                <w:sz w:val="14"/>
              </w:rPr>
              <w:t>94.78 %</w:t>
            </w:r>
          </w:p>
        </w:tc>
        <w:tc>
          <w:tcPr>
            <w:tcW w:type="dxa" w:w="903"/>
            <w:vAlign w:val="center"/>
          </w:tcPr>
          <w:p>
            <w:r/>
            <w:r>
              <w:rPr>
                <w:b w:val="0"/>
                <w:sz w:val="14"/>
              </w:rPr>
              <w:t>87.33 %</w:t>
            </w:r>
          </w:p>
        </w:tc>
        <w:tc>
          <w:tcPr>
            <w:tcW w:type="dxa" w:w="903"/>
            <w:vAlign w:val="center"/>
          </w:tcPr>
          <w:p>
            <w:r/>
            <w:r>
              <w:rPr>
                <w:b w:val="0"/>
                <w:sz w:val="14"/>
              </w:rPr>
              <w:t>87.35 %</w:t>
            </w:r>
          </w:p>
        </w:tc>
        <w:tc>
          <w:tcPr>
            <w:tcW w:type="dxa" w:w="903"/>
            <w:vAlign w:val="center"/>
          </w:tcPr>
          <w:p>
            <w:r/>
            <w:r>
              <w:rPr>
                <w:b w:val="0"/>
                <w:sz w:val="14"/>
              </w:rPr>
              <w:t>10</w:t>
            </w:r>
          </w:p>
        </w:tc>
        <w:tc>
          <w:tcPr>
            <w:tcW w:type="dxa" w:w="903"/>
            <w:vAlign w:val="center"/>
          </w:tcPr>
          <w:p>
            <w:r/>
            <w:r>
              <w:rPr>
                <w:b w:val="0"/>
                <w:sz w:val="14"/>
              </w:rPr>
              <w:t>1.826</w:t>
            </w:r>
          </w:p>
        </w:tc>
      </w:tr>
      <w:tr>
        <w:tc>
          <w:tcPr>
            <w:tcW w:type="dxa" w:w="903"/>
            <w:vAlign w:val="center"/>
          </w:tcPr>
          <w:p>
            <w:r/>
            <w:r>
              <w:rPr>
                <w:b w:val="0"/>
                <w:sz w:val="14"/>
              </w:rPr>
              <w:t>HistGradientBoostingClassifier</w:t>
            </w:r>
          </w:p>
        </w:tc>
        <w:tc>
          <w:tcPr>
            <w:tcW w:type="dxa" w:w="903"/>
            <w:vAlign w:val="center"/>
          </w:tcPr>
          <w:p>
            <w:r/>
            <w:r>
              <w:rPr>
                <w:b w:val="0"/>
                <w:sz w:val="14"/>
              </w:rPr>
              <w:t>colombia_plus_global_full</w:t>
            </w:r>
          </w:p>
        </w:tc>
        <w:tc>
          <w:tcPr>
            <w:tcW w:type="dxa" w:w="903"/>
            <w:vAlign w:val="center"/>
          </w:tcPr>
          <w:p>
            <w:r/>
            <w:r>
              <w:rPr>
                <w:b w:val="0"/>
                <w:sz w:val="14"/>
              </w:rPr>
              <w:t>all</w:t>
            </w:r>
          </w:p>
        </w:tc>
        <w:tc>
          <w:tcPr>
            <w:tcW w:type="dxa" w:w="903"/>
            <w:vAlign w:val="center"/>
          </w:tcPr>
          <w:p>
            <w:r/>
            <w:r>
              <w:rPr>
                <w:b w:val="0"/>
                <w:sz w:val="14"/>
              </w:rPr>
              <w:t>none</w:t>
            </w:r>
          </w:p>
        </w:tc>
        <w:tc>
          <w:tcPr>
            <w:tcW w:type="dxa" w:w="903"/>
            <w:vAlign w:val="center"/>
          </w:tcPr>
          <w:p>
            <w:r/>
            <w:r>
              <w:rPr>
                <w:b w:val="0"/>
                <w:sz w:val="14"/>
              </w:rPr>
              <w:t>87.57 %</w:t>
            </w:r>
          </w:p>
        </w:tc>
        <w:tc>
          <w:tcPr>
            <w:tcW w:type="dxa" w:w="903"/>
            <w:vAlign w:val="center"/>
          </w:tcPr>
          <w:p>
            <w:r/>
            <w:r>
              <w:rPr>
                <w:b w:val="0"/>
                <w:sz w:val="14"/>
              </w:rPr>
              <w:t>85.94 %</w:t>
            </w:r>
          </w:p>
        </w:tc>
        <w:tc>
          <w:tcPr>
            <w:tcW w:type="dxa" w:w="903"/>
            <w:vAlign w:val="center"/>
          </w:tcPr>
          <w:p>
            <w:r/>
            <w:r>
              <w:rPr>
                <w:b w:val="0"/>
                <w:sz w:val="14"/>
              </w:rPr>
              <w:t>94.63 %</w:t>
            </w:r>
          </w:p>
        </w:tc>
        <w:tc>
          <w:tcPr>
            <w:tcW w:type="dxa" w:w="903"/>
            <w:vAlign w:val="center"/>
          </w:tcPr>
          <w:p>
            <w:r/>
            <w:r>
              <w:rPr>
                <w:b w:val="0"/>
                <w:sz w:val="14"/>
              </w:rPr>
              <w:t>86.81 %</w:t>
            </w:r>
          </w:p>
        </w:tc>
        <w:tc>
          <w:tcPr>
            <w:tcW w:type="dxa" w:w="903"/>
            <w:vAlign w:val="center"/>
          </w:tcPr>
          <w:p>
            <w:r/>
            <w:r>
              <w:rPr>
                <w:b w:val="0"/>
                <w:sz w:val="14"/>
              </w:rPr>
              <w:t>85.08 %</w:t>
            </w:r>
          </w:p>
        </w:tc>
        <w:tc>
          <w:tcPr>
            <w:tcW w:type="dxa" w:w="903"/>
            <w:vAlign w:val="center"/>
          </w:tcPr>
          <w:p>
            <w:r/>
            <w:r>
              <w:rPr>
                <w:b w:val="0"/>
                <w:sz w:val="14"/>
              </w:rPr>
              <w:t>10</w:t>
            </w:r>
          </w:p>
        </w:tc>
        <w:tc>
          <w:tcPr>
            <w:tcW w:type="dxa" w:w="903"/>
            <w:vAlign w:val="center"/>
          </w:tcPr>
          <w:p>
            <w:r/>
            <w:r>
              <w:rPr>
                <w:b w:val="0"/>
                <w:sz w:val="14"/>
              </w:rPr>
              <w:t>1.826</w:t>
            </w:r>
          </w:p>
        </w:tc>
      </w:tr>
      <w:tr>
        <w:tc>
          <w:tcPr>
            <w:tcW w:type="dxa" w:w="903"/>
            <w:vAlign w:val="center"/>
          </w:tcPr>
          <w:p>
            <w:r/>
            <w:r>
              <w:rPr>
                <w:b w:val="0"/>
                <w:sz w:val="14"/>
              </w:rPr>
              <w:t>XGBClassifier</w:t>
            </w:r>
          </w:p>
        </w:tc>
        <w:tc>
          <w:tcPr>
            <w:tcW w:type="dxa" w:w="903"/>
            <w:vAlign w:val="center"/>
          </w:tcPr>
          <w:p>
            <w:r/>
            <w:r>
              <w:rPr>
                <w:b w:val="0"/>
                <w:sz w:val="14"/>
              </w:rPr>
              <w:t>colombia_plus_global_full</w:t>
            </w:r>
          </w:p>
        </w:tc>
        <w:tc>
          <w:tcPr>
            <w:tcW w:type="dxa" w:w="903"/>
            <w:vAlign w:val="center"/>
          </w:tcPr>
          <w:p>
            <w:r/>
            <w:r>
              <w:rPr>
                <w:b w:val="0"/>
                <w:sz w:val="14"/>
              </w:rPr>
              <w:t>15</w:t>
            </w:r>
          </w:p>
        </w:tc>
        <w:tc>
          <w:tcPr>
            <w:tcW w:type="dxa" w:w="903"/>
            <w:vAlign w:val="center"/>
          </w:tcPr>
          <w:p>
            <w:r/>
            <w:r>
              <w:rPr>
                <w:b w:val="0"/>
                <w:sz w:val="14"/>
              </w:rPr>
              <w:t>none</w:t>
            </w:r>
          </w:p>
        </w:tc>
        <w:tc>
          <w:tcPr>
            <w:tcW w:type="dxa" w:w="903"/>
            <w:vAlign w:val="center"/>
          </w:tcPr>
          <w:p>
            <w:r/>
            <w:r>
              <w:rPr>
                <w:b w:val="0"/>
                <w:sz w:val="14"/>
              </w:rPr>
              <w:t>88.12 %</w:t>
            </w:r>
          </w:p>
        </w:tc>
        <w:tc>
          <w:tcPr>
            <w:tcW w:type="dxa" w:w="903"/>
            <w:vAlign w:val="center"/>
          </w:tcPr>
          <w:p>
            <w:r/>
            <w:r>
              <w:rPr>
                <w:b w:val="0"/>
                <w:sz w:val="14"/>
              </w:rPr>
              <w:t>85.59 %</w:t>
            </w:r>
          </w:p>
        </w:tc>
        <w:tc>
          <w:tcPr>
            <w:tcW w:type="dxa" w:w="903"/>
            <w:vAlign w:val="center"/>
          </w:tcPr>
          <w:p>
            <w:r/>
            <w:r>
              <w:rPr>
                <w:b w:val="0"/>
                <w:sz w:val="14"/>
              </w:rPr>
              <w:t>94.23 %</w:t>
            </w:r>
          </w:p>
        </w:tc>
        <w:tc>
          <w:tcPr>
            <w:tcW w:type="dxa" w:w="903"/>
            <w:vAlign w:val="center"/>
          </w:tcPr>
          <w:p>
            <w:r/>
            <w:r>
              <w:rPr>
                <w:b w:val="0"/>
                <w:sz w:val="14"/>
              </w:rPr>
              <w:t>84.67 %</w:t>
            </w:r>
          </w:p>
        </w:tc>
        <w:tc>
          <w:tcPr>
            <w:tcW w:type="dxa" w:w="903"/>
            <w:vAlign w:val="center"/>
          </w:tcPr>
          <w:p>
            <w:r/>
            <w:r>
              <w:rPr>
                <w:b w:val="0"/>
                <w:sz w:val="14"/>
              </w:rPr>
              <w:t>86.51 %</w:t>
            </w:r>
          </w:p>
        </w:tc>
        <w:tc>
          <w:tcPr>
            <w:tcW w:type="dxa" w:w="903"/>
            <w:vAlign w:val="center"/>
          </w:tcPr>
          <w:p>
            <w:r/>
            <w:r>
              <w:rPr>
                <w:b w:val="0"/>
                <w:sz w:val="14"/>
              </w:rPr>
              <w:t>10</w:t>
            </w:r>
          </w:p>
        </w:tc>
        <w:tc>
          <w:tcPr>
            <w:tcW w:type="dxa" w:w="903"/>
            <w:vAlign w:val="center"/>
          </w:tcPr>
          <w:p>
            <w:r/>
            <w:r>
              <w:rPr>
                <w:b w:val="0"/>
                <w:sz w:val="14"/>
              </w:rPr>
              <w:t>1.826</w:t>
            </w:r>
          </w:p>
        </w:tc>
      </w:tr>
      <w:tr>
        <w:tc>
          <w:tcPr>
            <w:tcW w:type="dxa" w:w="903"/>
            <w:vAlign w:val="center"/>
          </w:tcPr>
          <w:p>
            <w:r/>
            <w:r>
              <w:rPr>
                <w:b w:val="0"/>
                <w:sz w:val="14"/>
              </w:rPr>
              <w:t>XGBClassifier</w:t>
            </w:r>
          </w:p>
        </w:tc>
        <w:tc>
          <w:tcPr>
            <w:tcW w:type="dxa" w:w="903"/>
            <w:vAlign w:val="center"/>
          </w:tcPr>
          <w:p>
            <w:r/>
            <w:r>
              <w:rPr>
                <w:b w:val="0"/>
                <w:sz w:val="14"/>
              </w:rPr>
              <w:t>colombia_plus_global_full</w:t>
            </w:r>
          </w:p>
        </w:tc>
        <w:tc>
          <w:tcPr>
            <w:tcW w:type="dxa" w:w="903"/>
            <w:vAlign w:val="center"/>
          </w:tcPr>
          <w:p>
            <w:r/>
            <w:r>
              <w:rPr>
                <w:b w:val="0"/>
                <w:sz w:val="14"/>
              </w:rPr>
              <w:t>15</w:t>
            </w:r>
          </w:p>
        </w:tc>
        <w:tc>
          <w:tcPr>
            <w:tcW w:type="dxa" w:w="903"/>
            <w:vAlign w:val="center"/>
          </w:tcPr>
          <w:p>
            <w:r/>
            <w:r>
              <w:rPr>
                <w:b w:val="0"/>
                <w:sz w:val="14"/>
              </w:rPr>
              <w:t>cluster_x4</w:t>
            </w:r>
          </w:p>
        </w:tc>
        <w:tc>
          <w:tcPr>
            <w:tcW w:type="dxa" w:w="903"/>
            <w:vAlign w:val="center"/>
          </w:tcPr>
          <w:p>
            <w:r/>
            <w:r>
              <w:rPr>
                <w:b w:val="0"/>
                <w:sz w:val="14"/>
              </w:rPr>
              <w:t>86.20 %</w:t>
            </w:r>
          </w:p>
        </w:tc>
        <w:tc>
          <w:tcPr>
            <w:tcW w:type="dxa" w:w="903"/>
            <w:vAlign w:val="center"/>
          </w:tcPr>
          <w:p>
            <w:r/>
            <w:r>
              <w:rPr>
                <w:b w:val="0"/>
                <w:sz w:val="14"/>
              </w:rPr>
              <w:t>84.24 %</w:t>
            </w:r>
          </w:p>
        </w:tc>
        <w:tc>
          <w:tcPr>
            <w:tcW w:type="dxa" w:w="903"/>
            <w:vAlign w:val="center"/>
          </w:tcPr>
          <w:p>
            <w:r/>
            <w:r>
              <w:rPr>
                <w:b w:val="0"/>
                <w:sz w:val="14"/>
              </w:rPr>
              <w:t>94.29 %</w:t>
            </w:r>
          </w:p>
        </w:tc>
        <w:tc>
          <w:tcPr>
            <w:tcW w:type="dxa" w:w="903"/>
            <w:vAlign w:val="center"/>
          </w:tcPr>
          <w:p>
            <w:r/>
            <w:r>
              <w:rPr>
                <w:b w:val="0"/>
                <w:sz w:val="14"/>
              </w:rPr>
              <w:t>83.33 %</w:t>
            </w:r>
          </w:p>
        </w:tc>
        <w:tc>
          <w:tcPr>
            <w:tcW w:type="dxa" w:w="903"/>
            <w:vAlign w:val="center"/>
          </w:tcPr>
          <w:p>
            <w:r/>
            <w:r>
              <w:rPr>
                <w:b w:val="0"/>
                <w:sz w:val="14"/>
              </w:rPr>
              <w:t>85.16 %</w:t>
            </w:r>
          </w:p>
        </w:tc>
        <w:tc>
          <w:tcPr>
            <w:tcW w:type="dxa" w:w="903"/>
            <w:vAlign w:val="center"/>
          </w:tcPr>
          <w:p>
            <w:r/>
            <w:r>
              <w:rPr>
                <w:b w:val="0"/>
                <w:sz w:val="14"/>
              </w:rPr>
              <w:t>10</w:t>
            </w:r>
          </w:p>
        </w:tc>
        <w:tc>
          <w:tcPr>
            <w:tcW w:type="dxa" w:w="903"/>
            <w:vAlign w:val="center"/>
          </w:tcPr>
          <w:p>
            <w:r/>
            <w:r>
              <w:rPr>
                <w:b w:val="0"/>
                <w:sz w:val="14"/>
              </w:rPr>
              <w:t>1.826</w:t>
            </w:r>
          </w:p>
        </w:tc>
      </w:tr>
      <w:tr>
        <w:tc>
          <w:tcPr>
            <w:tcW w:type="dxa" w:w="903"/>
            <w:vAlign w:val="center"/>
          </w:tcPr>
          <w:p>
            <w:r/>
            <w:r>
              <w:rPr>
                <w:b w:val="0"/>
                <w:sz w:val="14"/>
              </w:rPr>
              <w:t>XGBClassifier</w:t>
            </w:r>
          </w:p>
        </w:tc>
        <w:tc>
          <w:tcPr>
            <w:tcW w:type="dxa" w:w="903"/>
            <w:vAlign w:val="center"/>
          </w:tcPr>
          <w:p>
            <w:r/>
            <w:r>
              <w:rPr>
                <w:b w:val="0"/>
                <w:sz w:val="14"/>
              </w:rPr>
              <w:t>colombia_plus_global_full</w:t>
            </w:r>
          </w:p>
        </w:tc>
        <w:tc>
          <w:tcPr>
            <w:tcW w:type="dxa" w:w="903"/>
            <w:vAlign w:val="center"/>
          </w:tcPr>
          <w:p>
            <w:r/>
            <w:r>
              <w:rPr>
                <w:b w:val="0"/>
                <w:sz w:val="14"/>
              </w:rPr>
              <w:t>all</w:t>
            </w:r>
          </w:p>
        </w:tc>
        <w:tc>
          <w:tcPr>
            <w:tcW w:type="dxa" w:w="903"/>
            <w:vAlign w:val="center"/>
          </w:tcPr>
          <w:p>
            <w:r/>
            <w:r>
              <w:rPr>
                <w:b w:val="0"/>
                <w:sz w:val="14"/>
              </w:rPr>
              <w:t>recency_4y</w:t>
            </w:r>
          </w:p>
        </w:tc>
        <w:tc>
          <w:tcPr>
            <w:tcW w:type="dxa" w:w="903"/>
            <w:vAlign w:val="center"/>
          </w:tcPr>
          <w:p>
            <w:r/>
            <w:r>
              <w:rPr>
                <w:b w:val="0"/>
                <w:sz w:val="14"/>
              </w:rPr>
              <w:t>86.35 %</w:t>
            </w:r>
          </w:p>
        </w:tc>
        <w:tc>
          <w:tcPr>
            <w:tcW w:type="dxa" w:w="903"/>
            <w:vAlign w:val="center"/>
          </w:tcPr>
          <w:p>
            <w:r/>
            <w:r>
              <w:rPr>
                <w:b w:val="0"/>
                <w:sz w:val="14"/>
              </w:rPr>
              <w:t>83.67 %</w:t>
            </w:r>
          </w:p>
        </w:tc>
        <w:tc>
          <w:tcPr>
            <w:tcW w:type="dxa" w:w="903"/>
            <w:vAlign w:val="center"/>
          </w:tcPr>
          <w:p>
            <w:r/>
            <w:r>
              <w:rPr>
                <w:b w:val="0"/>
                <w:sz w:val="14"/>
              </w:rPr>
              <w:t>94.38 %</w:t>
            </w:r>
          </w:p>
        </w:tc>
        <w:tc>
          <w:tcPr>
            <w:tcW w:type="dxa" w:w="903"/>
            <w:vAlign w:val="center"/>
          </w:tcPr>
          <w:p>
            <w:r/>
            <w:r>
              <w:rPr>
                <w:b w:val="0"/>
                <w:sz w:val="14"/>
              </w:rPr>
              <w:t>82.52 %</w:t>
            </w:r>
          </w:p>
        </w:tc>
        <w:tc>
          <w:tcPr>
            <w:tcW w:type="dxa" w:w="903"/>
            <w:vAlign w:val="center"/>
          </w:tcPr>
          <w:p>
            <w:r/>
            <w:r>
              <w:rPr>
                <w:b w:val="0"/>
                <w:sz w:val="14"/>
              </w:rPr>
              <w:t>84.81 %</w:t>
            </w:r>
          </w:p>
        </w:tc>
        <w:tc>
          <w:tcPr>
            <w:tcW w:type="dxa" w:w="903"/>
            <w:vAlign w:val="center"/>
          </w:tcPr>
          <w:p>
            <w:r/>
            <w:r>
              <w:rPr>
                <w:b w:val="0"/>
                <w:sz w:val="14"/>
              </w:rPr>
              <w:t>10</w:t>
            </w:r>
          </w:p>
        </w:tc>
        <w:tc>
          <w:tcPr>
            <w:tcW w:type="dxa" w:w="903"/>
            <w:vAlign w:val="center"/>
          </w:tcPr>
          <w:p>
            <w:r/>
            <w:r>
              <w:rPr>
                <w:b w:val="0"/>
                <w:sz w:val="14"/>
              </w:rPr>
              <w:t>1.826</w:t>
            </w:r>
          </w:p>
        </w:tc>
      </w:tr>
      <w:tr>
        <w:tc>
          <w:tcPr>
            <w:tcW w:type="dxa" w:w="903"/>
            <w:vAlign w:val="center"/>
          </w:tcPr>
          <w:p>
            <w:r/>
            <w:r>
              <w:rPr>
                <w:b w:val="0"/>
                <w:sz w:val="14"/>
              </w:rPr>
              <w:t>XGBClassifier</w:t>
            </w:r>
          </w:p>
        </w:tc>
        <w:tc>
          <w:tcPr>
            <w:tcW w:type="dxa" w:w="903"/>
            <w:vAlign w:val="center"/>
          </w:tcPr>
          <w:p>
            <w:r/>
            <w:r>
              <w:rPr>
                <w:b w:val="0"/>
                <w:sz w:val="14"/>
              </w:rPr>
              <w:t>global_macro_only</w:t>
            </w:r>
          </w:p>
        </w:tc>
        <w:tc>
          <w:tcPr>
            <w:tcW w:type="dxa" w:w="903"/>
            <w:vAlign w:val="center"/>
          </w:tcPr>
          <w:p>
            <w:r/>
            <w:r>
              <w:rPr>
                <w:b w:val="0"/>
                <w:sz w:val="14"/>
              </w:rPr>
              <w:t>all</w:t>
            </w:r>
          </w:p>
        </w:tc>
        <w:tc>
          <w:tcPr>
            <w:tcW w:type="dxa" w:w="903"/>
            <w:vAlign w:val="center"/>
          </w:tcPr>
          <w:p>
            <w:r/>
            <w:r>
              <w:rPr>
                <w:b w:val="0"/>
                <w:sz w:val="14"/>
              </w:rPr>
              <w:t>none</w:t>
            </w:r>
          </w:p>
        </w:tc>
        <w:tc>
          <w:tcPr>
            <w:tcW w:type="dxa" w:w="903"/>
            <w:vAlign w:val="center"/>
          </w:tcPr>
          <w:p>
            <w:r/>
            <w:r>
              <w:rPr>
                <w:b w:val="0"/>
                <w:sz w:val="14"/>
              </w:rPr>
              <w:t>70.87 %</w:t>
            </w:r>
          </w:p>
        </w:tc>
        <w:tc>
          <w:tcPr>
            <w:tcW w:type="dxa" w:w="903"/>
            <w:vAlign w:val="center"/>
          </w:tcPr>
          <w:p>
            <w:r/>
            <w:r>
              <w:rPr>
                <w:b w:val="0"/>
                <w:sz w:val="14"/>
              </w:rPr>
              <w:t>72.64 %</w:t>
            </w:r>
          </w:p>
        </w:tc>
        <w:tc>
          <w:tcPr>
            <w:tcW w:type="dxa" w:w="903"/>
            <w:vAlign w:val="center"/>
          </w:tcPr>
          <w:p>
            <w:r/>
            <w:r>
              <w:rPr>
                <w:b w:val="0"/>
                <w:sz w:val="14"/>
              </w:rPr>
              <w:t>84.29 %</w:t>
            </w:r>
          </w:p>
        </w:tc>
        <w:tc>
          <w:tcPr>
            <w:tcW w:type="dxa" w:w="903"/>
            <w:vAlign w:val="center"/>
          </w:tcPr>
          <w:p>
            <w:r/>
            <w:r>
              <w:rPr>
                <w:b w:val="0"/>
                <w:sz w:val="14"/>
              </w:rPr>
              <w:t>70.38 %</w:t>
            </w:r>
          </w:p>
        </w:tc>
        <w:tc>
          <w:tcPr>
            <w:tcW w:type="dxa" w:w="903"/>
            <w:vAlign w:val="center"/>
          </w:tcPr>
          <w:p>
            <w:r/>
            <w:r>
              <w:rPr>
                <w:b w:val="0"/>
                <w:sz w:val="14"/>
              </w:rPr>
              <w:t>74.90 %</w:t>
            </w:r>
          </w:p>
        </w:tc>
        <w:tc>
          <w:tcPr>
            <w:tcW w:type="dxa" w:w="903"/>
            <w:vAlign w:val="center"/>
          </w:tcPr>
          <w:p>
            <w:r/>
            <w:r>
              <w:rPr>
                <w:b w:val="0"/>
                <w:sz w:val="14"/>
              </w:rPr>
              <w:t>10</w:t>
            </w:r>
          </w:p>
        </w:tc>
        <w:tc>
          <w:tcPr>
            <w:tcW w:type="dxa" w:w="903"/>
            <w:vAlign w:val="center"/>
          </w:tcPr>
          <w:p>
            <w:r/>
            <w:r>
              <w:rPr>
                <w:b w:val="0"/>
                <w:sz w:val="14"/>
              </w:rPr>
              <w:t>1.826</w:t>
            </w:r>
          </w:p>
        </w:tc>
      </w:tr>
      <w:tr>
        <w:tc>
          <w:tcPr>
            <w:tcW w:type="dxa" w:w="903"/>
            <w:vAlign w:val="center"/>
          </w:tcPr>
          <w:p>
            <w:r/>
            <w:r>
              <w:rPr>
                <w:b w:val="0"/>
                <w:sz w:val="14"/>
              </w:rPr>
              <w:t>XGBClassifier</w:t>
            </w:r>
          </w:p>
        </w:tc>
        <w:tc>
          <w:tcPr>
            <w:tcW w:type="dxa" w:w="903"/>
            <w:vAlign w:val="center"/>
          </w:tcPr>
          <w:p>
            <w:r/>
            <w:r>
              <w:rPr>
                <w:b w:val="0"/>
                <w:sz w:val="14"/>
              </w:rPr>
              <w:t>colombia_plus_global_compact</w:t>
            </w:r>
          </w:p>
        </w:tc>
        <w:tc>
          <w:tcPr>
            <w:tcW w:type="dxa" w:w="903"/>
            <w:vAlign w:val="center"/>
          </w:tcPr>
          <w:p>
            <w:r/>
            <w:r>
              <w:rPr>
                <w:b w:val="0"/>
                <w:sz w:val="14"/>
              </w:rPr>
              <w:t>all</w:t>
            </w:r>
          </w:p>
        </w:tc>
        <w:tc>
          <w:tcPr>
            <w:tcW w:type="dxa" w:w="903"/>
            <w:vAlign w:val="center"/>
          </w:tcPr>
          <w:p>
            <w:r/>
            <w:r>
              <w:rPr>
                <w:b w:val="0"/>
                <w:sz w:val="14"/>
              </w:rPr>
              <w:t>none</w:t>
            </w:r>
          </w:p>
        </w:tc>
        <w:tc>
          <w:tcPr>
            <w:tcW w:type="dxa" w:w="903"/>
            <w:vAlign w:val="center"/>
          </w:tcPr>
          <w:p>
            <w:r/>
            <w:r>
              <w:rPr>
                <w:b w:val="0"/>
                <w:sz w:val="14"/>
              </w:rPr>
              <w:t>62.45 %</w:t>
            </w:r>
          </w:p>
        </w:tc>
        <w:tc>
          <w:tcPr>
            <w:tcW w:type="dxa" w:w="903"/>
            <w:vAlign w:val="center"/>
          </w:tcPr>
          <w:p>
            <w:r/>
            <w:r>
              <w:rPr>
                <w:b w:val="0"/>
                <w:sz w:val="14"/>
              </w:rPr>
              <w:t>68.66 %</w:t>
            </w:r>
          </w:p>
        </w:tc>
        <w:tc>
          <w:tcPr>
            <w:tcW w:type="dxa" w:w="903"/>
            <w:vAlign w:val="center"/>
          </w:tcPr>
          <w:p>
            <w:r/>
            <w:r>
              <w:rPr>
                <w:b w:val="0"/>
                <w:sz w:val="14"/>
              </w:rPr>
              <w:t>73.84 %</w:t>
            </w:r>
          </w:p>
        </w:tc>
        <w:tc>
          <w:tcPr>
            <w:tcW w:type="dxa" w:w="903"/>
            <w:vAlign w:val="center"/>
          </w:tcPr>
          <w:p>
            <w:r/>
            <w:r>
              <w:rPr>
                <w:b w:val="0"/>
                <w:sz w:val="14"/>
              </w:rPr>
              <w:t>77.26 %</w:t>
            </w:r>
          </w:p>
        </w:tc>
        <w:tc>
          <w:tcPr>
            <w:tcW w:type="dxa" w:w="903"/>
            <w:vAlign w:val="center"/>
          </w:tcPr>
          <w:p>
            <w:r/>
            <w:r>
              <w:rPr>
                <w:b w:val="0"/>
                <w:sz w:val="14"/>
              </w:rPr>
              <w:t>60.05 %</w:t>
            </w:r>
          </w:p>
        </w:tc>
        <w:tc>
          <w:tcPr>
            <w:tcW w:type="dxa" w:w="903"/>
            <w:vAlign w:val="center"/>
          </w:tcPr>
          <w:p>
            <w:r/>
            <w:r>
              <w:rPr>
                <w:b w:val="0"/>
                <w:sz w:val="14"/>
              </w:rPr>
              <w:t>10</w:t>
            </w:r>
          </w:p>
        </w:tc>
        <w:tc>
          <w:tcPr>
            <w:tcW w:type="dxa" w:w="903"/>
            <w:vAlign w:val="center"/>
          </w:tcPr>
          <w:p>
            <w:r/>
            <w:r>
              <w:rPr>
                <w:b w:val="0"/>
                <w:sz w:val="14"/>
              </w:rPr>
              <w:t>1.826</w:t>
            </w:r>
          </w:p>
        </w:tc>
      </w:tr>
      <w:tr>
        <w:tc>
          <w:tcPr>
            <w:tcW w:type="dxa" w:w="903"/>
            <w:vAlign w:val="center"/>
          </w:tcPr>
          <w:p>
            <w:r/>
            <w:r>
              <w:rPr>
                <w:b w:val="0"/>
                <w:sz w:val="14"/>
              </w:rPr>
              <w:t>LogisticRegression</w:t>
            </w:r>
          </w:p>
        </w:tc>
        <w:tc>
          <w:tcPr>
            <w:tcW w:type="dxa" w:w="903"/>
            <w:vAlign w:val="center"/>
          </w:tcPr>
          <w:p>
            <w:r/>
            <w:r>
              <w:rPr>
                <w:b w:val="0"/>
                <w:sz w:val="14"/>
              </w:rPr>
              <w:t>colombia_plus_global_compact</w:t>
            </w:r>
          </w:p>
        </w:tc>
        <w:tc>
          <w:tcPr>
            <w:tcW w:type="dxa" w:w="903"/>
            <w:vAlign w:val="center"/>
          </w:tcPr>
          <w:p>
            <w:r/>
            <w:r>
              <w:rPr>
                <w:b w:val="0"/>
                <w:sz w:val="14"/>
              </w:rPr>
              <w:t>10</w:t>
            </w:r>
          </w:p>
        </w:tc>
        <w:tc>
          <w:tcPr>
            <w:tcW w:type="dxa" w:w="903"/>
            <w:vAlign w:val="center"/>
          </w:tcPr>
          <w:p>
            <w:r/>
            <w:r>
              <w:rPr>
                <w:b w:val="0"/>
                <w:sz w:val="14"/>
              </w:rPr>
              <w:t>recency_4y</w:t>
            </w:r>
          </w:p>
        </w:tc>
        <w:tc>
          <w:tcPr>
            <w:tcW w:type="dxa" w:w="903"/>
            <w:vAlign w:val="center"/>
          </w:tcPr>
          <w:p>
            <w:r/>
            <w:r>
              <w:rPr>
                <w:b w:val="0"/>
                <w:sz w:val="14"/>
              </w:rPr>
              <w:t>72.87 %</w:t>
            </w:r>
          </w:p>
        </w:tc>
        <w:tc>
          <w:tcPr>
            <w:tcW w:type="dxa" w:w="903"/>
            <w:vAlign w:val="center"/>
          </w:tcPr>
          <w:p>
            <w:r/>
            <w:r>
              <w:rPr>
                <w:b w:val="0"/>
                <w:sz w:val="14"/>
              </w:rPr>
              <w:t>67.69 %</w:t>
            </w:r>
          </w:p>
        </w:tc>
        <w:tc>
          <w:tcPr>
            <w:tcW w:type="dxa" w:w="903"/>
            <w:vAlign w:val="center"/>
          </w:tcPr>
          <w:p>
            <w:r/>
            <w:r>
              <w:rPr>
                <w:b w:val="0"/>
                <w:sz w:val="14"/>
              </w:rPr>
              <w:t>83.69 %</w:t>
            </w:r>
          </w:p>
        </w:tc>
        <w:tc>
          <w:tcPr>
            <w:tcW w:type="dxa" w:w="903"/>
            <w:vAlign w:val="center"/>
          </w:tcPr>
          <w:p>
            <w:r/>
            <w:r>
              <w:rPr>
                <w:b w:val="0"/>
                <w:sz w:val="14"/>
              </w:rPr>
              <w:t>55.55 %</w:t>
            </w:r>
          </w:p>
        </w:tc>
        <w:tc>
          <w:tcPr>
            <w:tcW w:type="dxa" w:w="903"/>
            <w:vAlign w:val="center"/>
          </w:tcPr>
          <w:p>
            <w:r/>
            <w:r>
              <w:rPr>
                <w:b w:val="0"/>
                <w:sz w:val="14"/>
              </w:rPr>
              <w:t>79.83 %</w:t>
            </w:r>
          </w:p>
        </w:tc>
        <w:tc>
          <w:tcPr>
            <w:tcW w:type="dxa" w:w="903"/>
            <w:vAlign w:val="center"/>
          </w:tcPr>
          <w:p>
            <w:r/>
            <w:r>
              <w:rPr>
                <w:b w:val="0"/>
                <w:sz w:val="14"/>
              </w:rPr>
              <w:t>10</w:t>
            </w:r>
          </w:p>
        </w:tc>
        <w:tc>
          <w:tcPr>
            <w:tcW w:type="dxa" w:w="903"/>
            <w:vAlign w:val="center"/>
          </w:tcPr>
          <w:p>
            <w:r/>
            <w:r>
              <w:rPr>
                <w:b w:val="0"/>
                <w:sz w:val="14"/>
              </w:rPr>
              <w:t>1.826</w:t>
            </w:r>
          </w:p>
        </w:tc>
      </w:tr>
      <w:tr>
        <w:tc>
          <w:tcPr>
            <w:tcW w:type="dxa" w:w="903"/>
            <w:vAlign w:val="center"/>
          </w:tcPr>
          <w:p>
            <w:r/>
            <w:r>
              <w:rPr>
                <w:b w:val="0"/>
                <w:sz w:val="14"/>
              </w:rPr>
              <w:t>XGBClassifier</w:t>
            </w:r>
          </w:p>
        </w:tc>
        <w:tc>
          <w:tcPr>
            <w:tcW w:type="dxa" w:w="903"/>
            <w:vAlign w:val="center"/>
          </w:tcPr>
          <w:p>
            <w:r/>
            <w:r>
              <w:rPr>
                <w:b w:val="0"/>
                <w:sz w:val="14"/>
              </w:rPr>
              <w:t>colombia_plus_global_compact</w:t>
            </w:r>
          </w:p>
        </w:tc>
        <w:tc>
          <w:tcPr>
            <w:tcW w:type="dxa" w:w="903"/>
            <w:vAlign w:val="center"/>
          </w:tcPr>
          <w:p>
            <w:r/>
            <w:r>
              <w:rPr>
                <w:b w:val="0"/>
                <w:sz w:val="14"/>
              </w:rPr>
              <w:t>all</w:t>
            </w:r>
          </w:p>
        </w:tc>
        <w:tc>
          <w:tcPr>
            <w:tcW w:type="dxa" w:w="903"/>
            <w:vAlign w:val="center"/>
          </w:tcPr>
          <w:p>
            <w:r/>
            <w:r>
              <w:rPr>
                <w:b w:val="0"/>
                <w:sz w:val="14"/>
              </w:rPr>
              <w:t>recency_4y</w:t>
            </w:r>
          </w:p>
        </w:tc>
        <w:tc>
          <w:tcPr>
            <w:tcW w:type="dxa" w:w="903"/>
            <w:vAlign w:val="center"/>
          </w:tcPr>
          <w:p>
            <w:r/>
            <w:r>
              <w:rPr>
                <w:b w:val="0"/>
                <w:sz w:val="14"/>
              </w:rPr>
              <w:t>66.58 %</w:t>
            </w:r>
          </w:p>
        </w:tc>
        <w:tc>
          <w:tcPr>
            <w:tcW w:type="dxa" w:w="903"/>
            <w:vAlign w:val="center"/>
          </w:tcPr>
          <w:p>
            <w:r/>
            <w:r>
              <w:rPr>
                <w:b w:val="0"/>
                <w:sz w:val="14"/>
              </w:rPr>
              <w:t>67.08 %</w:t>
            </w:r>
          </w:p>
        </w:tc>
        <w:tc>
          <w:tcPr>
            <w:tcW w:type="dxa" w:w="903"/>
            <w:vAlign w:val="center"/>
          </w:tcPr>
          <w:p>
            <w:r/>
            <w:r>
              <w:rPr>
                <w:b w:val="0"/>
                <w:sz w:val="14"/>
              </w:rPr>
              <w:t>76.10 %</w:t>
            </w:r>
          </w:p>
        </w:tc>
        <w:tc>
          <w:tcPr>
            <w:tcW w:type="dxa" w:w="903"/>
            <w:vAlign w:val="center"/>
          </w:tcPr>
          <w:p>
            <w:r/>
            <w:r>
              <w:rPr>
                <w:b w:val="0"/>
                <w:sz w:val="14"/>
              </w:rPr>
              <w:t>68.57 %</w:t>
            </w:r>
          </w:p>
        </w:tc>
        <w:tc>
          <w:tcPr>
            <w:tcW w:type="dxa" w:w="903"/>
            <w:vAlign w:val="center"/>
          </w:tcPr>
          <w:p>
            <w:r/>
            <w:r>
              <w:rPr>
                <w:b w:val="0"/>
                <w:sz w:val="14"/>
              </w:rPr>
              <w:t>65.59 %</w:t>
            </w:r>
          </w:p>
        </w:tc>
        <w:tc>
          <w:tcPr>
            <w:tcW w:type="dxa" w:w="903"/>
            <w:vAlign w:val="center"/>
          </w:tcPr>
          <w:p>
            <w:r/>
            <w:r>
              <w:rPr>
                <w:b w:val="0"/>
                <w:sz w:val="14"/>
              </w:rPr>
              <w:t>10</w:t>
            </w:r>
          </w:p>
        </w:tc>
        <w:tc>
          <w:tcPr>
            <w:tcW w:type="dxa" w:w="903"/>
            <w:vAlign w:val="center"/>
          </w:tcPr>
          <w:p>
            <w:r/>
            <w:r>
              <w:rPr>
                <w:b w:val="0"/>
                <w:sz w:val="14"/>
              </w:rPr>
              <w:t>1.826</w:t>
            </w:r>
          </w:p>
        </w:tc>
      </w:tr>
      <w:tr>
        <w:tc>
          <w:tcPr>
            <w:tcW w:type="dxa" w:w="903"/>
            <w:vAlign w:val="center"/>
          </w:tcPr>
          <w:p>
            <w:r/>
            <w:r>
              <w:rPr>
                <w:b w:val="0"/>
                <w:sz w:val="14"/>
              </w:rPr>
              <w:t>HistGradientBoostingClassifier</w:t>
            </w:r>
          </w:p>
        </w:tc>
        <w:tc>
          <w:tcPr>
            <w:tcW w:type="dxa" w:w="903"/>
            <w:vAlign w:val="center"/>
          </w:tcPr>
          <w:p>
            <w:r/>
            <w:r>
              <w:rPr>
                <w:b w:val="0"/>
                <w:sz w:val="14"/>
              </w:rPr>
              <w:t>global_no_gold_direct</w:t>
            </w:r>
          </w:p>
        </w:tc>
        <w:tc>
          <w:tcPr>
            <w:tcW w:type="dxa" w:w="903"/>
            <w:vAlign w:val="center"/>
          </w:tcPr>
          <w:p>
            <w:r/>
            <w:r>
              <w:rPr>
                <w:b w:val="0"/>
                <w:sz w:val="14"/>
              </w:rPr>
              <w:t>all</w:t>
            </w:r>
          </w:p>
        </w:tc>
        <w:tc>
          <w:tcPr>
            <w:tcW w:type="dxa" w:w="903"/>
            <w:vAlign w:val="center"/>
          </w:tcPr>
          <w:p>
            <w:r/>
            <w:r>
              <w:rPr>
                <w:b w:val="0"/>
                <w:sz w:val="14"/>
              </w:rPr>
              <w:t>balanced</w:t>
            </w:r>
          </w:p>
        </w:tc>
        <w:tc>
          <w:tcPr>
            <w:tcW w:type="dxa" w:w="903"/>
            <w:vAlign w:val="center"/>
          </w:tcPr>
          <w:p>
            <w:r/>
            <w:r>
              <w:rPr>
                <w:b w:val="0"/>
                <w:sz w:val="14"/>
              </w:rPr>
              <w:t>67.94 %</w:t>
            </w:r>
          </w:p>
        </w:tc>
        <w:tc>
          <w:tcPr>
            <w:tcW w:type="dxa" w:w="903"/>
            <w:vAlign w:val="center"/>
          </w:tcPr>
          <w:p>
            <w:r/>
            <w:r>
              <w:rPr>
                <w:b w:val="0"/>
                <w:sz w:val="14"/>
              </w:rPr>
              <w:t>66.53 %</w:t>
            </w:r>
          </w:p>
        </w:tc>
        <w:tc>
          <w:tcPr>
            <w:tcW w:type="dxa" w:w="903"/>
            <w:vAlign w:val="center"/>
          </w:tcPr>
          <w:p>
            <w:r/>
            <w:r>
              <w:rPr>
                <w:b w:val="0"/>
                <w:sz w:val="14"/>
              </w:rPr>
              <w:t>75.05 %</w:t>
            </w:r>
          </w:p>
        </w:tc>
        <w:tc>
          <w:tcPr>
            <w:tcW w:type="dxa" w:w="903"/>
            <w:vAlign w:val="center"/>
          </w:tcPr>
          <w:p>
            <w:r/>
            <w:r>
              <w:rPr>
                <w:b w:val="0"/>
                <w:sz w:val="14"/>
              </w:rPr>
              <w:t>57.62 %</w:t>
            </w:r>
          </w:p>
        </w:tc>
        <w:tc>
          <w:tcPr>
            <w:tcW w:type="dxa" w:w="903"/>
            <w:vAlign w:val="center"/>
          </w:tcPr>
          <w:p>
            <w:r/>
            <w:r>
              <w:rPr>
                <w:b w:val="0"/>
                <w:sz w:val="14"/>
              </w:rPr>
              <w:t>75.45 %</w:t>
            </w:r>
          </w:p>
        </w:tc>
        <w:tc>
          <w:tcPr>
            <w:tcW w:type="dxa" w:w="903"/>
            <w:vAlign w:val="center"/>
          </w:tcPr>
          <w:p>
            <w:r/>
            <w:r>
              <w:rPr>
                <w:b w:val="0"/>
                <w:sz w:val="14"/>
              </w:rPr>
              <w:t>10</w:t>
            </w:r>
          </w:p>
        </w:tc>
        <w:tc>
          <w:tcPr>
            <w:tcW w:type="dxa" w:w="903"/>
            <w:vAlign w:val="center"/>
          </w:tcPr>
          <w:p>
            <w:r/>
            <w:r>
              <w:rPr>
                <w:b w:val="0"/>
                <w:sz w:val="14"/>
              </w:rPr>
              <w:t>1.826</w:t>
            </w:r>
          </w:p>
        </w:tc>
      </w:tr>
    </w:tbl>
    <w:p/>
    <w:p>
      <w:pPr>
        <w:jc w:val="center"/>
      </w:pPr>
      <w:r>
        <w:drawing>
          <wp:inline xmlns:a="http://schemas.openxmlformats.org/drawingml/2006/main" xmlns:pic="http://schemas.openxmlformats.org/drawingml/2006/picture">
            <wp:extent cx="5760720" cy="3665913"/>
            <wp:docPr id="4" name="Picture 4"/>
            <wp:cNvGraphicFramePr>
              <a:graphicFrameLocks noChangeAspect="1"/>
            </wp:cNvGraphicFramePr>
            <a:graphic>
              <a:graphicData uri="http://schemas.openxmlformats.org/drawingml/2006/picture">
                <pic:pic>
                  <pic:nvPicPr>
                    <pic:cNvPr id="0" name="top20_models_bacc.png"/>
                    <pic:cNvPicPr/>
                  </pic:nvPicPr>
                  <pic:blipFill>
                    <a:blip r:embed="rId12"/>
                    <a:stretch>
                      <a:fillRect/>
                    </a:stretch>
                  </pic:blipFill>
                  <pic:spPr>
                    <a:xfrm>
                      <a:off x="0" y="0"/>
                      <a:ext cx="5760720" cy="3665913"/>
                    </a:xfrm>
                    <a:prstGeom prst="rect"/>
                  </pic:spPr>
                </pic:pic>
              </a:graphicData>
            </a:graphic>
          </wp:inline>
        </w:drawing>
      </w:r>
    </w:p>
    <w:p>
      <w:pPr>
        <w:jc w:val="center"/>
      </w:pPr>
      <w:r>
        <w:rPr>
          <w:i/>
          <w:sz w:val="18"/>
        </w:rPr>
        <w:t>Figura 4. Top 20 de modelos por balanced accuracy.</w:t>
      </w:r>
    </w:p>
    <w:p>
      <w:pPr>
        <w:jc w:val="center"/>
      </w:pPr>
      <w:r>
        <w:drawing>
          <wp:inline xmlns:a="http://schemas.openxmlformats.org/drawingml/2006/main" xmlns:pic="http://schemas.openxmlformats.org/drawingml/2006/picture">
            <wp:extent cx="5760720" cy="3200400"/>
            <wp:docPr id="5" name="Picture 5"/>
            <wp:cNvGraphicFramePr>
              <a:graphicFrameLocks noChangeAspect="1"/>
            </wp:cNvGraphicFramePr>
            <a:graphic>
              <a:graphicData uri="http://schemas.openxmlformats.org/drawingml/2006/picture">
                <pic:pic>
                  <pic:nvPicPr>
                    <pic:cNvPr id="0" name="model_comparison_by_feature_set.png"/>
                    <pic:cNvPicPr/>
                  </pic:nvPicPr>
                  <pic:blipFill>
                    <a:blip r:embed="rId13"/>
                    <a:stretch>
                      <a:fillRect/>
                    </a:stretch>
                  </pic:blipFill>
                  <pic:spPr>
                    <a:xfrm>
                      <a:off x="0" y="0"/>
                      <a:ext cx="5760720" cy="3200400"/>
                    </a:xfrm>
                    <a:prstGeom prst="rect"/>
                  </pic:spPr>
                </pic:pic>
              </a:graphicData>
            </a:graphic>
          </wp:inline>
        </w:drawing>
      </w:r>
    </w:p>
    <w:p>
      <w:pPr>
        <w:jc w:val="center"/>
      </w:pPr>
      <w:r>
        <w:rPr>
          <w:i/>
          <w:sz w:val="18"/>
        </w:rPr>
        <w:t>Figura 5. Mejor configuracion por conjunto de variables.</w:t>
      </w:r>
    </w:p>
    <w:p>
      <w:pPr>
        <w:pStyle w:val="Heading2"/>
      </w:pPr>
      <w:r>
        <w:rPr>
          <w:rFonts w:ascii="Aptos Display" w:hAnsi="Aptos Display"/>
          <w:color w:val="2F5496"/>
        </w:rPr>
        <w:t>6.2 Mejor modelo final</w:t>
      </w:r>
    </w:p>
    <w:p>
      <w:r>
        <w:t>El mejor resultado final corresponde a HistGradientBoostingClassifier con el conjunto colombia_plus_global_full, ventana completa, ponderacion balanced y 2.200 variables finales. La balanced accuracy media es 87,34 %, con AUC media de 94,78 %. El umbral calibrado promedio es 0,310, lo cual muestra que la calibracion no depende de un umbral fijo de 0,5.</w:t>
      </w:r>
    </w:p>
    <w:p>
      <w:pPr>
        <w:jc w:val="center"/>
      </w:pPr>
      <w:r>
        <w:rPr>
          <w:b/>
          <w:sz w:val="20"/>
        </w:rPr>
        <w:t>Tabla 6. Matriz de confusion agregada del mejor modelo</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vAlign w:val="center"/>
          </w:tcPr>
          <w:p>
            <w:r/>
            <w:r>
              <w:rPr>
                <w:b/>
                <w:color w:val="FFFFFF"/>
                <w:sz w:val="16"/>
              </w:rPr>
              <w:t>real</w:t>
            </w:r>
          </w:p>
        </w:tc>
        <w:tc>
          <w:tcPr>
            <w:tcW w:type="dxa" w:w="3312"/>
            <w:shd w:fill="1F4E79"/>
            <w:vAlign w:val="center"/>
          </w:tcPr>
          <w:p>
            <w:r/>
            <w:r>
              <w:rPr>
                <w:b/>
                <w:color w:val="FFFFFF"/>
                <w:sz w:val="16"/>
              </w:rPr>
              <w:t>pred_no_sube</w:t>
            </w:r>
          </w:p>
        </w:tc>
        <w:tc>
          <w:tcPr>
            <w:tcW w:type="dxa" w:w="3312"/>
            <w:shd w:fill="1F4E79"/>
            <w:vAlign w:val="center"/>
          </w:tcPr>
          <w:p>
            <w:r/>
            <w:r>
              <w:rPr>
                <w:b/>
                <w:color w:val="FFFFFF"/>
                <w:sz w:val="16"/>
              </w:rPr>
              <w:t>pred_sube</w:t>
            </w:r>
          </w:p>
        </w:tc>
      </w:tr>
      <w:tr>
        <w:tc>
          <w:tcPr>
            <w:tcW w:type="dxa" w:w="3312"/>
            <w:vAlign w:val="center"/>
          </w:tcPr>
          <w:p>
            <w:r/>
            <w:r>
              <w:rPr>
                <w:b w:val="0"/>
                <w:sz w:val="16"/>
              </w:rPr>
              <w:t>real_no_sube</w:t>
            </w:r>
          </w:p>
        </w:tc>
        <w:tc>
          <w:tcPr>
            <w:tcW w:type="dxa" w:w="3312"/>
            <w:vAlign w:val="center"/>
          </w:tcPr>
          <w:p>
            <w:r/>
            <w:r>
              <w:rPr>
                <w:b w:val="0"/>
                <w:sz w:val="16"/>
              </w:rPr>
              <w:t>1.009</w:t>
            </w:r>
          </w:p>
        </w:tc>
        <w:tc>
          <w:tcPr>
            <w:tcW w:type="dxa" w:w="3312"/>
            <w:vAlign w:val="center"/>
          </w:tcPr>
          <w:p>
            <w:r/>
            <w:r>
              <w:rPr>
                <w:b w:val="0"/>
                <w:sz w:val="16"/>
              </w:rPr>
              <w:t>145</w:t>
            </w:r>
          </w:p>
        </w:tc>
      </w:tr>
      <w:tr>
        <w:tc>
          <w:tcPr>
            <w:tcW w:type="dxa" w:w="3312"/>
            <w:vAlign w:val="center"/>
          </w:tcPr>
          <w:p>
            <w:r/>
            <w:r>
              <w:rPr>
                <w:b w:val="0"/>
                <w:sz w:val="16"/>
              </w:rPr>
              <w:t>real_sube</w:t>
            </w:r>
          </w:p>
        </w:tc>
        <w:tc>
          <w:tcPr>
            <w:tcW w:type="dxa" w:w="3312"/>
            <w:vAlign w:val="center"/>
          </w:tcPr>
          <w:p>
            <w:r/>
            <w:r>
              <w:rPr>
                <w:b w:val="0"/>
                <w:sz w:val="16"/>
              </w:rPr>
              <w:t>60</w:t>
            </w:r>
          </w:p>
        </w:tc>
        <w:tc>
          <w:tcPr>
            <w:tcW w:type="dxa" w:w="3312"/>
            <w:vAlign w:val="center"/>
          </w:tcPr>
          <w:p>
            <w:r/>
            <w:r>
              <w:rPr>
                <w:b w:val="0"/>
                <w:sz w:val="16"/>
              </w:rPr>
              <w:t>612</w:t>
            </w:r>
          </w:p>
        </w:tc>
      </w:tr>
    </w:tbl>
    <w:p/>
    <w:p>
      <w:pPr>
        <w:jc w:val="center"/>
      </w:pPr>
      <w:r>
        <w:drawing>
          <wp:inline xmlns:a="http://schemas.openxmlformats.org/drawingml/2006/main" xmlns:pic="http://schemas.openxmlformats.org/drawingml/2006/picture">
            <wp:extent cx="4389120" cy="3511296"/>
            <wp:docPr id="6" name="Picture 6"/>
            <wp:cNvGraphicFramePr>
              <a:graphicFrameLocks noChangeAspect="1"/>
            </wp:cNvGraphicFramePr>
            <a:graphic>
              <a:graphicData uri="http://schemas.openxmlformats.org/drawingml/2006/picture">
                <pic:pic>
                  <pic:nvPicPr>
                    <pic:cNvPr id="0" name="confusion_matrix_best.png"/>
                    <pic:cNvPicPr/>
                  </pic:nvPicPr>
                  <pic:blipFill>
                    <a:blip r:embed="rId14"/>
                    <a:stretch>
                      <a:fillRect/>
                    </a:stretch>
                  </pic:blipFill>
                  <pic:spPr>
                    <a:xfrm>
                      <a:off x="0" y="0"/>
                      <a:ext cx="4389120" cy="3511296"/>
                    </a:xfrm>
                    <a:prstGeom prst="rect"/>
                  </pic:spPr>
                </pic:pic>
              </a:graphicData>
            </a:graphic>
          </wp:inline>
        </w:drawing>
      </w:r>
    </w:p>
    <w:p>
      <w:pPr>
        <w:jc w:val="center"/>
      </w:pPr>
      <w:r>
        <w:rPr>
          <w:i/>
          <w:sz w:val="18"/>
        </w:rPr>
        <w:t>Figura 6. Matriz de confusion del mejor modelo.</w:t>
      </w:r>
    </w:p>
    <w:p>
      <w:pPr>
        <w:jc w:val="center"/>
      </w:pPr>
      <w:r>
        <w:drawing>
          <wp:inline xmlns:a="http://schemas.openxmlformats.org/drawingml/2006/main" xmlns:pic="http://schemas.openxmlformats.org/drawingml/2006/picture">
            <wp:extent cx="5760720" cy="2618509"/>
            <wp:docPr id="7" name="Picture 7"/>
            <wp:cNvGraphicFramePr>
              <a:graphicFrameLocks noChangeAspect="1"/>
            </wp:cNvGraphicFramePr>
            <a:graphic>
              <a:graphicData uri="http://schemas.openxmlformats.org/drawingml/2006/picture">
                <pic:pic>
                  <pic:nvPicPr>
                    <pic:cNvPr id="0" name="walkforward_metrics_best_model.png"/>
                    <pic:cNvPicPr/>
                  </pic:nvPicPr>
                  <pic:blipFill>
                    <a:blip r:embed="rId15"/>
                    <a:stretch>
                      <a:fillRect/>
                    </a:stretch>
                  </pic:blipFill>
                  <pic:spPr>
                    <a:xfrm>
                      <a:off x="0" y="0"/>
                      <a:ext cx="5760720" cy="2618509"/>
                    </a:xfrm>
                    <a:prstGeom prst="rect"/>
                  </pic:spPr>
                </pic:pic>
              </a:graphicData>
            </a:graphic>
          </wp:inline>
        </w:drawing>
      </w:r>
    </w:p>
    <w:p>
      <w:pPr>
        <w:jc w:val="center"/>
      </w:pPr>
      <w:r>
        <w:rPr>
          <w:i/>
          <w:sz w:val="18"/>
        </w:rPr>
        <w:t>Figura 7. Metricas walk-forward por bloque temporal.</w:t>
      </w:r>
    </w:p>
    <w:p>
      <w:pPr>
        <w:jc w:val="center"/>
      </w:pPr>
      <w:r>
        <w:drawing>
          <wp:inline xmlns:a="http://schemas.openxmlformats.org/drawingml/2006/main" xmlns:pic="http://schemas.openxmlformats.org/drawingml/2006/picture">
            <wp:extent cx="5760720" cy="2094807"/>
            <wp:docPr id="8" name="Picture 8"/>
            <wp:cNvGraphicFramePr>
              <a:graphicFrameLocks noChangeAspect="1"/>
            </wp:cNvGraphicFramePr>
            <a:graphic>
              <a:graphicData uri="http://schemas.openxmlformats.org/drawingml/2006/picture">
                <pic:pic>
                  <pic:nvPicPr>
                    <pic:cNvPr id="0" name="probability_threshold_best_model.png"/>
                    <pic:cNvPicPr/>
                  </pic:nvPicPr>
                  <pic:blipFill>
                    <a:blip r:embed="rId16"/>
                    <a:stretch>
                      <a:fillRect/>
                    </a:stretch>
                  </pic:blipFill>
                  <pic:spPr>
                    <a:xfrm>
                      <a:off x="0" y="0"/>
                      <a:ext cx="5760720" cy="2094807"/>
                    </a:xfrm>
                    <a:prstGeom prst="rect"/>
                  </pic:spPr>
                </pic:pic>
              </a:graphicData>
            </a:graphic>
          </wp:inline>
        </w:drawing>
      </w:r>
    </w:p>
    <w:p>
      <w:pPr>
        <w:jc w:val="center"/>
      </w:pPr>
      <w:r>
        <w:rPr>
          <w:i/>
          <w:sz w:val="18"/>
        </w:rPr>
        <w:t>Figura 8. Probabilidad de subida y umbral calibrado.</w:t>
      </w:r>
    </w:p>
    <w:p>
      <w:pPr>
        <w:pStyle w:val="Heading2"/>
      </w:pPr>
      <w:r>
        <w:rPr>
          <w:rFonts w:ascii="Aptos Display" w:hAnsi="Aptos Display"/>
          <w:color w:val="2F5496"/>
        </w:rPr>
        <w:t>6.3 Comparacion con reglas deterministicas</w:t>
      </w:r>
    </w:p>
    <w:p>
      <w:r>
        <w:t>Las reglas deterministicas ofrecen una linea base interpretable, pero quedan lejos del desempeño del modelo supervisado final. La mejor regla deterministica es Brent_Momentum_21, con balanced accuracy cercana a 52,05 %, mientras que el modelo final alcanza 87,34 %. Esto muestra que la senal predictiva proviene de interacciones multivariadas y no de una regla univariada simple.</w:t>
      </w:r>
    </w:p>
    <w:p>
      <w:pPr>
        <w:jc w:val="center"/>
      </w:pPr>
      <w:r>
        <w:rPr>
          <w:b/>
          <w:sz w:val="20"/>
        </w:rPr>
        <w:t>Tabla 7. Reglas deterministicas usadas como referencia</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1F4E79"/>
            <w:vAlign w:val="center"/>
          </w:tcPr>
          <w:p>
            <w:r/>
            <w:r>
              <w:rPr>
                <w:b/>
                <w:color w:val="FFFFFF"/>
                <w:sz w:val="14"/>
              </w:rPr>
              <w:t>Regla deterministica</w:t>
            </w:r>
          </w:p>
        </w:tc>
        <w:tc>
          <w:tcPr>
            <w:tcW w:type="dxa" w:w="1242"/>
            <w:shd w:fill="1F4E79"/>
            <w:vAlign w:val="center"/>
          </w:tcPr>
          <w:p>
            <w:r/>
            <w:r>
              <w:rPr>
                <w:b/>
                <w:color w:val="FFFFFF"/>
                <w:sz w:val="14"/>
              </w:rPr>
              <w:t>Accuracy</w:t>
            </w:r>
          </w:p>
        </w:tc>
        <w:tc>
          <w:tcPr>
            <w:tcW w:type="dxa" w:w="1242"/>
            <w:shd w:fill="1F4E79"/>
            <w:vAlign w:val="center"/>
          </w:tcPr>
          <w:p>
            <w:r/>
            <w:r>
              <w:rPr>
                <w:b/>
                <w:color w:val="FFFFFF"/>
                <w:sz w:val="14"/>
              </w:rPr>
              <w:t>BACC</w:t>
            </w:r>
          </w:p>
        </w:tc>
        <w:tc>
          <w:tcPr>
            <w:tcW w:type="dxa" w:w="1242"/>
            <w:shd w:fill="1F4E79"/>
            <w:vAlign w:val="center"/>
          </w:tcPr>
          <w:p>
            <w:r/>
            <w:r>
              <w:rPr>
                <w:b/>
                <w:color w:val="FFFFFF"/>
                <w:sz w:val="14"/>
              </w:rPr>
              <w:t>AUC</w:t>
            </w:r>
          </w:p>
        </w:tc>
        <w:tc>
          <w:tcPr>
            <w:tcW w:type="dxa" w:w="1242"/>
            <w:shd w:fill="1F4E79"/>
            <w:vAlign w:val="center"/>
          </w:tcPr>
          <w:p>
            <w:r/>
            <w:r>
              <w:rPr>
                <w:b/>
                <w:color w:val="FFFFFF"/>
                <w:sz w:val="14"/>
              </w:rPr>
              <w:t>Recall sube</w:t>
            </w:r>
          </w:p>
        </w:tc>
        <w:tc>
          <w:tcPr>
            <w:tcW w:type="dxa" w:w="1242"/>
            <w:shd w:fill="1F4E79"/>
            <w:vAlign w:val="center"/>
          </w:tcPr>
          <w:p>
            <w:r/>
            <w:r>
              <w:rPr>
                <w:b/>
                <w:color w:val="FFFFFF"/>
                <w:sz w:val="14"/>
              </w:rPr>
              <w:t>Recall no sube</w:t>
            </w:r>
          </w:p>
        </w:tc>
        <w:tc>
          <w:tcPr>
            <w:tcW w:type="dxa" w:w="1242"/>
            <w:shd w:fill="1F4E79"/>
            <w:vAlign w:val="center"/>
          </w:tcPr>
          <w:p>
            <w:r/>
            <w:r>
              <w:rPr>
                <w:b/>
                <w:color w:val="FFFFFF"/>
                <w:sz w:val="14"/>
              </w:rPr>
              <w:t>Bloques</w:t>
            </w:r>
          </w:p>
        </w:tc>
        <w:tc>
          <w:tcPr>
            <w:tcW w:type="dxa" w:w="1242"/>
            <w:shd w:fill="1F4E79"/>
            <w:vAlign w:val="center"/>
          </w:tcPr>
          <w:p>
            <w:r/>
            <w:r>
              <w:rPr>
                <w:b/>
                <w:color w:val="FFFFFF"/>
                <w:sz w:val="14"/>
              </w:rPr>
              <w:t>n test</w:t>
            </w:r>
          </w:p>
        </w:tc>
      </w:tr>
      <w:tr>
        <w:tc>
          <w:tcPr>
            <w:tcW w:type="dxa" w:w="1242"/>
            <w:vAlign w:val="center"/>
          </w:tcPr>
          <w:p>
            <w:r/>
            <w:r>
              <w:rPr>
                <w:b w:val="0"/>
                <w:sz w:val="14"/>
              </w:rPr>
              <w:t>Brent_Momentum_21</w:t>
            </w:r>
          </w:p>
        </w:tc>
        <w:tc>
          <w:tcPr>
            <w:tcW w:type="dxa" w:w="1242"/>
            <w:vAlign w:val="center"/>
          </w:tcPr>
          <w:p>
            <w:r/>
            <w:r>
              <w:rPr>
                <w:b w:val="0"/>
                <w:sz w:val="14"/>
              </w:rPr>
              <w:t>47.65 %</w:t>
            </w:r>
          </w:p>
        </w:tc>
        <w:tc>
          <w:tcPr>
            <w:tcW w:type="dxa" w:w="1242"/>
            <w:vAlign w:val="center"/>
          </w:tcPr>
          <w:p>
            <w:r/>
            <w:r>
              <w:rPr>
                <w:b w:val="0"/>
                <w:sz w:val="14"/>
              </w:rPr>
              <w:t>52.05 %</w:t>
            </w:r>
          </w:p>
        </w:tc>
        <w:tc>
          <w:tcPr>
            <w:tcW w:type="dxa" w:w="1242"/>
            <w:vAlign w:val="center"/>
          </w:tcPr>
          <w:p>
            <w:r/>
            <w:r>
              <w:rPr>
                <w:b w:val="0"/>
                <w:sz w:val="14"/>
              </w:rPr>
              <w:t>52.05 %</w:t>
            </w:r>
          </w:p>
        </w:tc>
        <w:tc>
          <w:tcPr>
            <w:tcW w:type="dxa" w:w="1242"/>
            <w:vAlign w:val="center"/>
          </w:tcPr>
          <w:p>
            <w:r/>
            <w:r>
              <w:rPr>
                <w:b w:val="0"/>
                <w:sz w:val="14"/>
              </w:rPr>
              <w:t>59.07 %</w:t>
            </w:r>
          </w:p>
        </w:tc>
        <w:tc>
          <w:tcPr>
            <w:tcW w:type="dxa" w:w="1242"/>
            <w:vAlign w:val="center"/>
          </w:tcPr>
          <w:p>
            <w:r/>
            <w:r>
              <w:rPr>
                <w:b w:val="0"/>
                <w:sz w:val="14"/>
              </w:rPr>
              <w:t>45.03 %</w:t>
            </w:r>
          </w:p>
        </w:tc>
        <w:tc>
          <w:tcPr>
            <w:tcW w:type="dxa" w:w="1242"/>
            <w:vAlign w:val="center"/>
          </w:tcPr>
          <w:p>
            <w:r/>
            <w:r>
              <w:rPr>
                <w:b w:val="0"/>
                <w:sz w:val="14"/>
              </w:rPr>
              <w:t>10</w:t>
            </w:r>
          </w:p>
        </w:tc>
        <w:tc>
          <w:tcPr>
            <w:tcW w:type="dxa" w:w="1242"/>
            <w:vAlign w:val="center"/>
          </w:tcPr>
          <w:p>
            <w:r/>
            <w:r>
              <w:rPr>
                <w:b w:val="0"/>
                <w:sz w:val="14"/>
              </w:rPr>
              <w:t>1.826</w:t>
            </w:r>
          </w:p>
        </w:tc>
      </w:tr>
      <w:tr>
        <w:tc>
          <w:tcPr>
            <w:tcW w:type="dxa" w:w="1242"/>
            <w:vAlign w:val="center"/>
          </w:tcPr>
          <w:p>
            <w:r/>
            <w:r>
              <w:rPr>
                <w:b w:val="0"/>
                <w:sz w:val="14"/>
              </w:rPr>
              <w:t>MA_63_126</w:t>
            </w:r>
          </w:p>
        </w:tc>
        <w:tc>
          <w:tcPr>
            <w:tcW w:type="dxa" w:w="1242"/>
            <w:vAlign w:val="center"/>
          </w:tcPr>
          <w:p>
            <w:r/>
            <w:r>
              <w:rPr>
                <w:b w:val="0"/>
                <w:sz w:val="14"/>
              </w:rPr>
              <w:t>51.91 %</w:t>
            </w:r>
          </w:p>
        </w:tc>
        <w:tc>
          <w:tcPr>
            <w:tcW w:type="dxa" w:w="1242"/>
            <w:vAlign w:val="center"/>
          </w:tcPr>
          <w:p>
            <w:r/>
            <w:r>
              <w:rPr>
                <w:b w:val="0"/>
                <w:sz w:val="14"/>
              </w:rPr>
              <w:t>46.82 %</w:t>
            </w:r>
          </w:p>
        </w:tc>
        <w:tc>
          <w:tcPr>
            <w:tcW w:type="dxa" w:w="1242"/>
            <w:vAlign w:val="center"/>
          </w:tcPr>
          <w:p>
            <w:r/>
            <w:r>
              <w:rPr>
                <w:b w:val="0"/>
                <w:sz w:val="14"/>
              </w:rPr>
              <w:t>46.82 %</w:t>
            </w:r>
          </w:p>
        </w:tc>
        <w:tc>
          <w:tcPr>
            <w:tcW w:type="dxa" w:w="1242"/>
            <w:vAlign w:val="center"/>
          </w:tcPr>
          <w:p>
            <w:r/>
            <w:r>
              <w:rPr>
                <w:b w:val="0"/>
                <w:sz w:val="14"/>
              </w:rPr>
              <w:t>61.02 %</w:t>
            </w:r>
          </w:p>
        </w:tc>
        <w:tc>
          <w:tcPr>
            <w:tcW w:type="dxa" w:w="1242"/>
            <w:vAlign w:val="center"/>
          </w:tcPr>
          <w:p>
            <w:r/>
            <w:r>
              <w:rPr>
                <w:b w:val="0"/>
                <w:sz w:val="14"/>
              </w:rPr>
              <w:t>32.62 %</w:t>
            </w:r>
          </w:p>
        </w:tc>
        <w:tc>
          <w:tcPr>
            <w:tcW w:type="dxa" w:w="1242"/>
            <w:vAlign w:val="center"/>
          </w:tcPr>
          <w:p>
            <w:r/>
            <w:r>
              <w:rPr>
                <w:b w:val="0"/>
                <w:sz w:val="14"/>
              </w:rPr>
              <w:t>10</w:t>
            </w:r>
          </w:p>
        </w:tc>
        <w:tc>
          <w:tcPr>
            <w:tcW w:type="dxa" w:w="1242"/>
            <w:vAlign w:val="center"/>
          </w:tcPr>
          <w:p>
            <w:r/>
            <w:r>
              <w:rPr>
                <w:b w:val="0"/>
                <w:sz w:val="14"/>
              </w:rPr>
              <w:t>1.826</w:t>
            </w:r>
          </w:p>
        </w:tc>
      </w:tr>
      <w:tr>
        <w:tc>
          <w:tcPr>
            <w:tcW w:type="dxa" w:w="1242"/>
            <w:vAlign w:val="center"/>
          </w:tcPr>
          <w:p>
            <w:r/>
            <w:r>
              <w:rPr>
                <w:b w:val="0"/>
                <w:sz w:val="14"/>
              </w:rPr>
              <w:t>MA_21_63</w:t>
            </w:r>
          </w:p>
        </w:tc>
        <w:tc>
          <w:tcPr>
            <w:tcW w:type="dxa" w:w="1242"/>
            <w:vAlign w:val="center"/>
          </w:tcPr>
          <w:p>
            <w:r/>
            <w:r>
              <w:rPr>
                <w:b w:val="0"/>
                <w:sz w:val="14"/>
              </w:rPr>
              <w:t>52.37 %</w:t>
            </w:r>
          </w:p>
        </w:tc>
        <w:tc>
          <w:tcPr>
            <w:tcW w:type="dxa" w:w="1242"/>
            <w:vAlign w:val="center"/>
          </w:tcPr>
          <w:p>
            <w:r/>
            <w:r>
              <w:rPr>
                <w:b w:val="0"/>
                <w:sz w:val="14"/>
              </w:rPr>
              <w:t>44.53 %</w:t>
            </w:r>
          </w:p>
        </w:tc>
        <w:tc>
          <w:tcPr>
            <w:tcW w:type="dxa" w:w="1242"/>
            <w:vAlign w:val="center"/>
          </w:tcPr>
          <w:p>
            <w:r/>
            <w:r>
              <w:rPr>
                <w:b w:val="0"/>
                <w:sz w:val="14"/>
              </w:rPr>
              <w:t>44.53 %</w:t>
            </w:r>
          </w:p>
        </w:tc>
        <w:tc>
          <w:tcPr>
            <w:tcW w:type="dxa" w:w="1242"/>
            <w:vAlign w:val="center"/>
          </w:tcPr>
          <w:p>
            <w:r/>
            <w:r>
              <w:rPr>
                <w:b w:val="0"/>
                <w:sz w:val="14"/>
              </w:rPr>
              <w:t>50.07 %</w:t>
            </w:r>
          </w:p>
        </w:tc>
        <w:tc>
          <w:tcPr>
            <w:tcW w:type="dxa" w:w="1242"/>
            <w:vAlign w:val="center"/>
          </w:tcPr>
          <w:p>
            <w:r/>
            <w:r>
              <w:rPr>
                <w:b w:val="0"/>
                <w:sz w:val="14"/>
              </w:rPr>
              <w:t>38.98 %</w:t>
            </w:r>
          </w:p>
        </w:tc>
        <w:tc>
          <w:tcPr>
            <w:tcW w:type="dxa" w:w="1242"/>
            <w:vAlign w:val="center"/>
          </w:tcPr>
          <w:p>
            <w:r/>
            <w:r>
              <w:rPr>
                <w:b w:val="0"/>
                <w:sz w:val="14"/>
              </w:rPr>
              <w:t>10</w:t>
            </w:r>
          </w:p>
        </w:tc>
        <w:tc>
          <w:tcPr>
            <w:tcW w:type="dxa" w:w="1242"/>
            <w:vAlign w:val="center"/>
          </w:tcPr>
          <w:p>
            <w:r/>
            <w:r>
              <w:rPr>
                <w:b w:val="0"/>
                <w:sz w:val="14"/>
              </w:rPr>
              <w:t>1.826</w:t>
            </w:r>
          </w:p>
        </w:tc>
      </w:tr>
      <w:tr>
        <w:tc>
          <w:tcPr>
            <w:tcW w:type="dxa" w:w="1242"/>
            <w:vAlign w:val="center"/>
          </w:tcPr>
          <w:p>
            <w:r/>
            <w:r>
              <w:rPr>
                <w:b w:val="0"/>
                <w:sz w:val="14"/>
              </w:rPr>
              <w:t>TRM_Momentum_21</w:t>
            </w:r>
          </w:p>
        </w:tc>
        <w:tc>
          <w:tcPr>
            <w:tcW w:type="dxa" w:w="1242"/>
            <w:vAlign w:val="center"/>
          </w:tcPr>
          <w:p>
            <w:r/>
            <w:r>
              <w:rPr>
                <w:b w:val="0"/>
                <w:sz w:val="14"/>
              </w:rPr>
              <w:t>42.82 %</w:t>
            </w:r>
          </w:p>
        </w:tc>
        <w:tc>
          <w:tcPr>
            <w:tcW w:type="dxa" w:w="1242"/>
            <w:vAlign w:val="center"/>
          </w:tcPr>
          <w:p>
            <w:r/>
            <w:r>
              <w:rPr>
                <w:b w:val="0"/>
                <w:sz w:val="14"/>
              </w:rPr>
              <w:t>42.83 %</w:t>
            </w:r>
          </w:p>
        </w:tc>
        <w:tc>
          <w:tcPr>
            <w:tcW w:type="dxa" w:w="1242"/>
            <w:vAlign w:val="center"/>
          </w:tcPr>
          <w:p>
            <w:r/>
            <w:r>
              <w:rPr>
                <w:b w:val="0"/>
                <w:sz w:val="14"/>
              </w:rPr>
              <w:t>42.83 %</w:t>
            </w:r>
          </w:p>
        </w:tc>
        <w:tc>
          <w:tcPr>
            <w:tcW w:type="dxa" w:w="1242"/>
            <w:vAlign w:val="center"/>
          </w:tcPr>
          <w:p>
            <w:r/>
            <w:r>
              <w:rPr>
                <w:b w:val="0"/>
                <w:sz w:val="14"/>
              </w:rPr>
              <w:t>39.40 %</w:t>
            </w:r>
          </w:p>
        </w:tc>
        <w:tc>
          <w:tcPr>
            <w:tcW w:type="dxa" w:w="1242"/>
            <w:vAlign w:val="center"/>
          </w:tcPr>
          <w:p>
            <w:r/>
            <w:r>
              <w:rPr>
                <w:b w:val="0"/>
                <w:sz w:val="14"/>
              </w:rPr>
              <w:t>46.26 %</w:t>
            </w:r>
          </w:p>
        </w:tc>
        <w:tc>
          <w:tcPr>
            <w:tcW w:type="dxa" w:w="1242"/>
            <w:vAlign w:val="center"/>
          </w:tcPr>
          <w:p>
            <w:r/>
            <w:r>
              <w:rPr>
                <w:b w:val="0"/>
                <w:sz w:val="14"/>
              </w:rPr>
              <w:t>10</w:t>
            </w:r>
          </w:p>
        </w:tc>
        <w:tc>
          <w:tcPr>
            <w:tcW w:type="dxa" w:w="1242"/>
            <w:vAlign w:val="center"/>
          </w:tcPr>
          <w:p>
            <w:r/>
            <w:r>
              <w:rPr>
                <w:b w:val="0"/>
                <w:sz w:val="14"/>
              </w:rPr>
              <w:t>1.826</w:t>
            </w:r>
          </w:p>
        </w:tc>
      </w:tr>
      <w:tr>
        <w:tc>
          <w:tcPr>
            <w:tcW w:type="dxa" w:w="1242"/>
            <w:vAlign w:val="center"/>
          </w:tcPr>
          <w:p>
            <w:r/>
            <w:r>
              <w:rPr>
                <w:b w:val="0"/>
                <w:sz w:val="14"/>
              </w:rPr>
              <w:t>Momentum_21</w:t>
            </w:r>
          </w:p>
        </w:tc>
        <w:tc>
          <w:tcPr>
            <w:tcW w:type="dxa" w:w="1242"/>
            <w:vAlign w:val="center"/>
          </w:tcPr>
          <w:p>
            <w:r/>
            <w:r>
              <w:rPr>
                <w:b w:val="0"/>
                <w:sz w:val="14"/>
              </w:rPr>
              <w:t>51.63 %</w:t>
            </w:r>
          </w:p>
        </w:tc>
        <w:tc>
          <w:tcPr>
            <w:tcW w:type="dxa" w:w="1242"/>
            <w:vAlign w:val="center"/>
          </w:tcPr>
          <w:p>
            <w:r/>
            <w:r>
              <w:rPr>
                <w:b w:val="0"/>
                <w:sz w:val="14"/>
              </w:rPr>
              <w:t>41.81 %</w:t>
            </w:r>
          </w:p>
        </w:tc>
        <w:tc>
          <w:tcPr>
            <w:tcW w:type="dxa" w:w="1242"/>
            <w:vAlign w:val="center"/>
          </w:tcPr>
          <w:p>
            <w:r/>
            <w:r>
              <w:rPr>
                <w:b w:val="0"/>
                <w:sz w:val="14"/>
              </w:rPr>
              <w:t>41.81 %</w:t>
            </w:r>
          </w:p>
        </w:tc>
        <w:tc>
          <w:tcPr>
            <w:tcW w:type="dxa" w:w="1242"/>
            <w:vAlign w:val="center"/>
          </w:tcPr>
          <w:p>
            <w:r/>
            <w:r>
              <w:rPr>
                <w:b w:val="0"/>
                <w:sz w:val="14"/>
              </w:rPr>
              <w:t>28.74 %</w:t>
            </w:r>
          </w:p>
        </w:tc>
        <w:tc>
          <w:tcPr>
            <w:tcW w:type="dxa" w:w="1242"/>
            <w:vAlign w:val="center"/>
          </w:tcPr>
          <w:p>
            <w:r/>
            <w:r>
              <w:rPr>
                <w:b w:val="0"/>
                <w:sz w:val="14"/>
              </w:rPr>
              <w:t>54.88 %</w:t>
            </w:r>
          </w:p>
        </w:tc>
        <w:tc>
          <w:tcPr>
            <w:tcW w:type="dxa" w:w="1242"/>
            <w:vAlign w:val="center"/>
          </w:tcPr>
          <w:p>
            <w:r/>
            <w:r>
              <w:rPr>
                <w:b w:val="0"/>
                <w:sz w:val="14"/>
              </w:rPr>
              <w:t>10</w:t>
            </w:r>
          </w:p>
        </w:tc>
        <w:tc>
          <w:tcPr>
            <w:tcW w:type="dxa" w:w="1242"/>
            <w:vAlign w:val="center"/>
          </w:tcPr>
          <w:p>
            <w:r/>
            <w:r>
              <w:rPr>
                <w:b w:val="0"/>
                <w:sz w:val="14"/>
              </w:rPr>
              <w:t>1.826</w:t>
            </w:r>
          </w:p>
        </w:tc>
      </w:tr>
      <w:tr>
        <w:tc>
          <w:tcPr>
            <w:tcW w:type="dxa" w:w="1242"/>
            <w:vAlign w:val="center"/>
          </w:tcPr>
          <w:p>
            <w:r/>
            <w:r>
              <w:rPr>
                <w:b w:val="0"/>
                <w:sz w:val="14"/>
              </w:rPr>
              <w:t>Momentum_63</w:t>
            </w:r>
          </w:p>
        </w:tc>
        <w:tc>
          <w:tcPr>
            <w:tcW w:type="dxa" w:w="1242"/>
            <w:vAlign w:val="center"/>
          </w:tcPr>
          <w:p>
            <w:r/>
            <w:r>
              <w:rPr>
                <w:b w:val="0"/>
                <w:sz w:val="14"/>
              </w:rPr>
              <w:t>50.56 %</w:t>
            </w:r>
          </w:p>
        </w:tc>
        <w:tc>
          <w:tcPr>
            <w:tcW w:type="dxa" w:w="1242"/>
            <w:vAlign w:val="center"/>
          </w:tcPr>
          <w:p>
            <w:r/>
            <w:r>
              <w:rPr>
                <w:b w:val="0"/>
                <w:sz w:val="14"/>
              </w:rPr>
              <w:t>39.89 %</w:t>
            </w:r>
          </w:p>
        </w:tc>
        <w:tc>
          <w:tcPr>
            <w:tcW w:type="dxa" w:w="1242"/>
            <w:vAlign w:val="center"/>
          </w:tcPr>
          <w:p>
            <w:r/>
            <w:r>
              <w:rPr>
                <w:b w:val="0"/>
                <w:sz w:val="14"/>
              </w:rPr>
              <w:t>39.89 %</w:t>
            </w:r>
          </w:p>
        </w:tc>
        <w:tc>
          <w:tcPr>
            <w:tcW w:type="dxa" w:w="1242"/>
            <w:vAlign w:val="center"/>
          </w:tcPr>
          <w:p>
            <w:r/>
            <w:r>
              <w:rPr>
                <w:b w:val="0"/>
                <w:sz w:val="14"/>
              </w:rPr>
              <w:t>44.50 %</w:t>
            </w:r>
          </w:p>
        </w:tc>
        <w:tc>
          <w:tcPr>
            <w:tcW w:type="dxa" w:w="1242"/>
            <w:vAlign w:val="center"/>
          </w:tcPr>
          <w:p>
            <w:r/>
            <w:r>
              <w:rPr>
                <w:b w:val="0"/>
                <w:sz w:val="14"/>
              </w:rPr>
              <w:t>35.29 %</w:t>
            </w:r>
          </w:p>
        </w:tc>
        <w:tc>
          <w:tcPr>
            <w:tcW w:type="dxa" w:w="1242"/>
            <w:vAlign w:val="center"/>
          </w:tcPr>
          <w:p>
            <w:r/>
            <w:r>
              <w:rPr>
                <w:b w:val="0"/>
                <w:sz w:val="14"/>
              </w:rPr>
              <w:t>10</w:t>
            </w:r>
          </w:p>
        </w:tc>
        <w:tc>
          <w:tcPr>
            <w:tcW w:type="dxa" w:w="1242"/>
            <w:vAlign w:val="center"/>
          </w:tcPr>
          <w:p>
            <w:r/>
            <w:r>
              <w:rPr>
                <w:b w:val="0"/>
                <w:sz w:val="14"/>
              </w:rPr>
              <w:t>1.826</w:t>
            </w:r>
          </w:p>
        </w:tc>
      </w:tr>
    </w:tbl>
    <w:p/>
    <w:p>
      <w:pPr>
        <w:jc w:val="center"/>
      </w:pPr>
      <w:r>
        <w:drawing>
          <wp:inline xmlns:a="http://schemas.openxmlformats.org/drawingml/2006/main" xmlns:pic="http://schemas.openxmlformats.org/drawingml/2006/picture">
            <wp:extent cx="5760720" cy="4032504"/>
            <wp:docPr id="9" name="Picture 9"/>
            <wp:cNvGraphicFramePr>
              <a:graphicFrameLocks noChangeAspect="1"/>
            </wp:cNvGraphicFramePr>
            <a:graphic>
              <a:graphicData uri="http://schemas.openxmlformats.org/drawingml/2006/picture">
                <pic:pic>
                  <pic:nvPicPr>
                    <pic:cNvPr id="0" name="ai_vs_deterministic_bacc.png"/>
                    <pic:cNvPicPr/>
                  </pic:nvPicPr>
                  <pic:blipFill>
                    <a:blip r:embed="rId17"/>
                    <a:stretch>
                      <a:fillRect/>
                    </a:stretch>
                  </pic:blipFill>
                  <pic:spPr>
                    <a:xfrm>
                      <a:off x="0" y="0"/>
                      <a:ext cx="5760720" cy="4032504"/>
                    </a:xfrm>
                    <a:prstGeom prst="rect"/>
                  </pic:spPr>
                </pic:pic>
              </a:graphicData>
            </a:graphic>
          </wp:inline>
        </w:drawing>
      </w:r>
    </w:p>
    <w:p>
      <w:pPr>
        <w:jc w:val="center"/>
      </w:pPr>
      <w:r>
        <w:rPr>
          <w:i/>
          <w:sz w:val="18"/>
        </w:rPr>
        <w:t>Figura 9. Comparacion entre modelos de IA y reglas deterministicas.</w:t>
      </w:r>
    </w:p>
    <w:p>
      <w:pPr>
        <w:pStyle w:val="Heading1"/>
      </w:pPr>
      <w:r>
        <w:rPr>
          <w:rFonts w:ascii="Aptos Display" w:hAnsi="Aptos Display"/>
          <w:color w:val="1F4E79"/>
        </w:rPr>
        <w:t>7. Interpretabilidad y auditoria</w:t>
      </w:r>
    </w:p>
    <w:p>
      <w:pPr>
        <w:pStyle w:val="Heading2"/>
      </w:pPr>
      <w:r>
        <w:rPr>
          <w:rFonts w:ascii="Aptos Display" w:hAnsi="Aptos Display"/>
          <w:color w:val="2F5496"/>
        </w:rPr>
        <w:t>7.1 Importancia de variables</w:t>
      </w:r>
    </w:p>
    <w:p>
      <w:r>
        <w:t>La importancia de variables confirma que el modelo combina memoria propia del oro, variables locales y contexto global. Aparecen entre las primeras variables el retorno logaritmico del oro a 21 dias, distancias y rezagos de DTF, volumenes y distancias de instrumentos ligados a oro internacional y metales, variables de energia y variables de mercado global.</w:t>
      </w:r>
    </w:p>
    <w:p>
      <w:pPr>
        <w:jc w:val="center"/>
      </w:pPr>
      <w:r>
        <w:rPr>
          <w:b/>
          <w:sz w:val="20"/>
        </w:rPr>
        <w:t>Tabla 8. Top 20 de importancia de variables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9"/>
            <w:vAlign w:val="center"/>
          </w:tcPr>
          <w:p>
            <w:r/>
            <w:r>
              <w:rPr>
                <w:b/>
                <w:color w:val="FFFFFF"/>
                <w:sz w:val="14"/>
              </w:rPr>
              <w:t>Rank</w:t>
            </w:r>
          </w:p>
        </w:tc>
        <w:tc>
          <w:tcPr>
            <w:tcW w:type="dxa" w:w="2484"/>
            <w:shd w:fill="1F4E79"/>
            <w:vAlign w:val="center"/>
          </w:tcPr>
          <w:p>
            <w:r/>
            <w:r>
              <w:rPr>
                <w:b/>
                <w:color w:val="FFFFFF"/>
                <w:sz w:val="14"/>
              </w:rPr>
              <w:t>Variable</w:t>
            </w:r>
          </w:p>
        </w:tc>
        <w:tc>
          <w:tcPr>
            <w:tcW w:type="dxa" w:w="2484"/>
            <w:shd w:fill="1F4E79"/>
            <w:vAlign w:val="center"/>
          </w:tcPr>
          <w:p>
            <w:r/>
            <w:r>
              <w:rPr>
                <w:b/>
                <w:color w:val="FFFFFF"/>
                <w:sz w:val="14"/>
              </w:rPr>
              <w:t>Importancia</w:t>
            </w:r>
          </w:p>
        </w:tc>
        <w:tc>
          <w:tcPr>
            <w:tcW w:type="dxa" w:w="2484"/>
            <w:shd w:fill="1F4E79"/>
            <w:vAlign w:val="center"/>
          </w:tcPr>
          <w:p>
            <w:r/>
            <w:r>
              <w:rPr>
                <w:b/>
                <w:color w:val="FFFFFF"/>
                <w:sz w:val="14"/>
              </w:rPr>
              <w:t>Grupo</w:t>
            </w:r>
          </w:p>
        </w:tc>
      </w:tr>
      <w:tr>
        <w:tc>
          <w:tcPr>
            <w:tcW w:type="dxa" w:w="2484"/>
            <w:vAlign w:val="center"/>
          </w:tcPr>
          <w:p>
            <w:r/>
            <w:r>
              <w:rPr>
                <w:b w:val="0"/>
                <w:sz w:val="14"/>
              </w:rPr>
              <w:t>1</w:t>
            </w:r>
          </w:p>
        </w:tc>
        <w:tc>
          <w:tcPr>
            <w:tcW w:type="dxa" w:w="2484"/>
            <w:vAlign w:val="center"/>
          </w:tcPr>
          <w:p>
            <w:r/>
            <w:r>
              <w:rPr>
                <w:b w:val="0"/>
                <w:sz w:val="14"/>
              </w:rPr>
              <w:t>precio_oro_logret_21</w:t>
            </w:r>
          </w:p>
        </w:tc>
        <w:tc>
          <w:tcPr>
            <w:tcW w:type="dxa" w:w="2484"/>
            <w:vAlign w:val="center"/>
          </w:tcPr>
          <w:p>
            <w:r/>
            <w:r>
              <w:rPr>
                <w:b w:val="0"/>
                <w:sz w:val="14"/>
              </w:rPr>
              <w:t>0,08161</w:t>
            </w:r>
          </w:p>
        </w:tc>
        <w:tc>
          <w:tcPr>
            <w:tcW w:type="dxa" w:w="2484"/>
            <w:vAlign w:val="center"/>
          </w:tcPr>
          <w:p>
            <w:r/>
            <w:r>
              <w:rPr>
                <w:b w:val="0"/>
                <w:sz w:val="14"/>
              </w:rPr>
              <w:t>colombia</w:t>
            </w:r>
          </w:p>
        </w:tc>
      </w:tr>
      <w:tr>
        <w:tc>
          <w:tcPr>
            <w:tcW w:type="dxa" w:w="2484"/>
            <w:vAlign w:val="center"/>
          </w:tcPr>
          <w:p>
            <w:r/>
            <w:r>
              <w:rPr>
                <w:b w:val="0"/>
                <w:sz w:val="14"/>
              </w:rPr>
              <w:t>2</w:t>
            </w:r>
          </w:p>
        </w:tc>
        <w:tc>
          <w:tcPr>
            <w:tcW w:type="dxa" w:w="2484"/>
            <w:vAlign w:val="center"/>
          </w:tcPr>
          <w:p>
            <w:r/>
            <w:r>
              <w:rPr>
                <w:b w:val="0"/>
                <w:sz w:val="14"/>
              </w:rPr>
              <w:t>cl_f_volume_dist_max63</w:t>
            </w:r>
          </w:p>
        </w:tc>
        <w:tc>
          <w:tcPr>
            <w:tcW w:type="dxa" w:w="2484"/>
            <w:vAlign w:val="center"/>
          </w:tcPr>
          <w:p>
            <w:r/>
            <w:r>
              <w:rPr>
                <w:b w:val="0"/>
                <w:sz w:val="14"/>
              </w:rPr>
              <w:t>0,01417</w:t>
            </w:r>
          </w:p>
        </w:tc>
        <w:tc>
          <w:tcPr>
            <w:tcW w:type="dxa" w:w="2484"/>
            <w:vAlign w:val="center"/>
          </w:tcPr>
          <w:p>
            <w:r/>
            <w:r>
              <w:rPr>
                <w:b w:val="0"/>
                <w:sz w:val="14"/>
              </w:rPr>
              <w:t>energia</w:t>
            </w:r>
          </w:p>
        </w:tc>
      </w:tr>
      <w:tr>
        <w:tc>
          <w:tcPr>
            <w:tcW w:type="dxa" w:w="2484"/>
            <w:vAlign w:val="center"/>
          </w:tcPr>
          <w:p>
            <w:r/>
            <w:r>
              <w:rPr>
                <w:b w:val="0"/>
                <w:sz w:val="14"/>
              </w:rPr>
              <w:t>3</w:t>
            </w:r>
          </w:p>
        </w:tc>
        <w:tc>
          <w:tcPr>
            <w:tcW w:type="dxa" w:w="2484"/>
            <w:vAlign w:val="center"/>
          </w:tcPr>
          <w:p>
            <w:r/>
            <w:r>
              <w:rPr>
                <w:b w:val="0"/>
                <w:sz w:val="14"/>
              </w:rPr>
              <w:t>dtf_dist_max21</w:t>
            </w:r>
          </w:p>
        </w:tc>
        <w:tc>
          <w:tcPr>
            <w:tcW w:type="dxa" w:w="2484"/>
            <w:vAlign w:val="center"/>
          </w:tcPr>
          <w:p>
            <w:r/>
            <w:r>
              <w:rPr>
                <w:b w:val="0"/>
                <w:sz w:val="14"/>
              </w:rPr>
              <w:t>0,01102</w:t>
            </w:r>
          </w:p>
        </w:tc>
        <w:tc>
          <w:tcPr>
            <w:tcW w:type="dxa" w:w="2484"/>
            <w:vAlign w:val="center"/>
          </w:tcPr>
          <w:p>
            <w:r/>
            <w:r>
              <w:rPr>
                <w:b w:val="0"/>
                <w:sz w:val="14"/>
              </w:rPr>
              <w:t>colombia</w:t>
            </w:r>
          </w:p>
        </w:tc>
      </w:tr>
      <w:tr>
        <w:tc>
          <w:tcPr>
            <w:tcW w:type="dxa" w:w="2484"/>
            <w:vAlign w:val="center"/>
          </w:tcPr>
          <w:p>
            <w:r/>
            <w:r>
              <w:rPr>
                <w:b w:val="0"/>
                <w:sz w:val="14"/>
              </w:rPr>
              <w:t>4</w:t>
            </w:r>
          </w:p>
        </w:tc>
        <w:tc>
          <w:tcPr>
            <w:tcW w:type="dxa" w:w="2484"/>
            <w:vAlign w:val="center"/>
          </w:tcPr>
          <w:p>
            <w:r/>
            <w:r>
              <w:rPr>
                <w:b w:val="0"/>
                <w:sz w:val="14"/>
              </w:rPr>
              <w:t>gc_f_adj_close_dist_min63</w:t>
            </w:r>
          </w:p>
        </w:tc>
        <w:tc>
          <w:tcPr>
            <w:tcW w:type="dxa" w:w="2484"/>
            <w:vAlign w:val="center"/>
          </w:tcPr>
          <w:p>
            <w:r/>
            <w:r>
              <w:rPr>
                <w:b w:val="0"/>
                <w:sz w:val="14"/>
              </w:rPr>
              <w:t>0,00722</w:t>
            </w:r>
          </w:p>
        </w:tc>
        <w:tc>
          <w:tcPr>
            <w:tcW w:type="dxa" w:w="2484"/>
            <w:vAlign w:val="center"/>
          </w:tcPr>
          <w:p>
            <w:r/>
            <w:r>
              <w:rPr>
                <w:b w:val="0"/>
                <w:sz w:val="14"/>
              </w:rPr>
              <w:t>oro_internacional</w:t>
            </w:r>
          </w:p>
        </w:tc>
      </w:tr>
      <w:tr>
        <w:tc>
          <w:tcPr>
            <w:tcW w:type="dxa" w:w="2484"/>
            <w:vAlign w:val="center"/>
          </w:tcPr>
          <w:p>
            <w:r/>
            <w:r>
              <w:rPr>
                <w:b w:val="0"/>
                <w:sz w:val="14"/>
              </w:rPr>
              <w:t>5</w:t>
            </w:r>
          </w:p>
        </w:tc>
        <w:tc>
          <w:tcPr>
            <w:tcW w:type="dxa" w:w="2484"/>
            <w:vAlign w:val="center"/>
          </w:tcPr>
          <w:p>
            <w:r/>
            <w:r>
              <w:rPr>
                <w:b w:val="0"/>
                <w:sz w:val="14"/>
              </w:rPr>
              <w:t>pl_f_low_dist_min126</w:t>
            </w:r>
          </w:p>
        </w:tc>
        <w:tc>
          <w:tcPr>
            <w:tcW w:type="dxa" w:w="2484"/>
            <w:vAlign w:val="center"/>
          </w:tcPr>
          <w:p>
            <w:r/>
            <w:r>
              <w:rPr>
                <w:b w:val="0"/>
                <w:sz w:val="14"/>
              </w:rPr>
              <w:t>0,00591</w:t>
            </w:r>
          </w:p>
        </w:tc>
        <w:tc>
          <w:tcPr>
            <w:tcW w:type="dxa" w:w="2484"/>
            <w:vAlign w:val="center"/>
          </w:tcPr>
          <w:p>
            <w:r/>
            <w:r>
              <w:rPr>
                <w:b w:val="0"/>
                <w:sz w:val="14"/>
              </w:rPr>
              <w:t>metales</w:t>
            </w:r>
          </w:p>
        </w:tc>
      </w:tr>
      <w:tr>
        <w:tc>
          <w:tcPr>
            <w:tcW w:type="dxa" w:w="2484"/>
            <w:vAlign w:val="center"/>
          </w:tcPr>
          <w:p>
            <w:r/>
            <w:r>
              <w:rPr>
                <w:b w:val="0"/>
                <w:sz w:val="14"/>
              </w:rPr>
              <w:t>6</w:t>
            </w:r>
          </w:p>
        </w:tc>
        <w:tc>
          <w:tcPr>
            <w:tcW w:type="dxa" w:w="2484"/>
            <w:vAlign w:val="center"/>
          </w:tcPr>
          <w:p>
            <w:r/>
            <w:r>
              <w:rPr>
                <w:b w:val="0"/>
                <w:sz w:val="14"/>
              </w:rPr>
              <w:t>gc_f_volume_dist_max63</w:t>
            </w:r>
          </w:p>
        </w:tc>
        <w:tc>
          <w:tcPr>
            <w:tcW w:type="dxa" w:w="2484"/>
            <w:vAlign w:val="center"/>
          </w:tcPr>
          <w:p>
            <w:r/>
            <w:r>
              <w:rPr>
                <w:b w:val="0"/>
                <w:sz w:val="14"/>
              </w:rPr>
              <w:t>0,00589</w:t>
            </w:r>
          </w:p>
        </w:tc>
        <w:tc>
          <w:tcPr>
            <w:tcW w:type="dxa" w:w="2484"/>
            <w:vAlign w:val="center"/>
          </w:tcPr>
          <w:p>
            <w:r/>
            <w:r>
              <w:rPr>
                <w:b w:val="0"/>
                <w:sz w:val="14"/>
              </w:rPr>
              <w:t>oro_internacional</w:t>
            </w:r>
          </w:p>
        </w:tc>
      </w:tr>
      <w:tr>
        <w:tc>
          <w:tcPr>
            <w:tcW w:type="dxa" w:w="2484"/>
            <w:vAlign w:val="center"/>
          </w:tcPr>
          <w:p>
            <w:r/>
            <w:r>
              <w:rPr>
                <w:b w:val="0"/>
                <w:sz w:val="14"/>
              </w:rPr>
              <w:t>7</w:t>
            </w:r>
          </w:p>
        </w:tc>
        <w:tc>
          <w:tcPr>
            <w:tcW w:type="dxa" w:w="2484"/>
            <w:vAlign w:val="center"/>
          </w:tcPr>
          <w:p>
            <w:r/>
            <w:r>
              <w:rPr>
                <w:b w:val="0"/>
                <w:sz w:val="14"/>
              </w:rPr>
              <w:t>qqq_volume_lag63</w:t>
            </w:r>
          </w:p>
        </w:tc>
        <w:tc>
          <w:tcPr>
            <w:tcW w:type="dxa" w:w="2484"/>
            <w:vAlign w:val="center"/>
          </w:tcPr>
          <w:p>
            <w:r/>
            <w:r>
              <w:rPr>
                <w:b w:val="0"/>
                <w:sz w:val="14"/>
              </w:rPr>
              <w:t>0,00551</w:t>
            </w:r>
          </w:p>
        </w:tc>
        <w:tc>
          <w:tcPr>
            <w:tcW w:type="dxa" w:w="2484"/>
            <w:vAlign w:val="center"/>
          </w:tcPr>
          <w:p>
            <w:r/>
            <w:r>
              <w:rPr>
                <w:b w:val="0"/>
                <w:sz w:val="14"/>
              </w:rPr>
              <w:t>renta_variable</w:t>
            </w:r>
          </w:p>
        </w:tc>
      </w:tr>
      <w:tr>
        <w:tc>
          <w:tcPr>
            <w:tcW w:type="dxa" w:w="2484"/>
            <w:vAlign w:val="center"/>
          </w:tcPr>
          <w:p>
            <w:r/>
            <w:r>
              <w:rPr>
                <w:b w:val="0"/>
                <w:sz w:val="14"/>
              </w:rPr>
              <w:t>8</w:t>
            </w:r>
          </w:p>
        </w:tc>
        <w:tc>
          <w:tcPr>
            <w:tcW w:type="dxa" w:w="2484"/>
            <w:vAlign w:val="center"/>
          </w:tcPr>
          <w:p>
            <w:r/>
            <w:r>
              <w:rPr>
                <w:b w:val="0"/>
                <w:sz w:val="14"/>
              </w:rPr>
              <w:t>precio_oro_dist_min63</w:t>
            </w:r>
          </w:p>
        </w:tc>
        <w:tc>
          <w:tcPr>
            <w:tcW w:type="dxa" w:w="2484"/>
            <w:vAlign w:val="center"/>
          </w:tcPr>
          <w:p>
            <w:r/>
            <w:r>
              <w:rPr>
                <w:b w:val="0"/>
                <w:sz w:val="14"/>
              </w:rPr>
              <w:t>0,00541</w:t>
            </w:r>
          </w:p>
        </w:tc>
        <w:tc>
          <w:tcPr>
            <w:tcW w:type="dxa" w:w="2484"/>
            <w:vAlign w:val="center"/>
          </w:tcPr>
          <w:p>
            <w:r/>
            <w:r>
              <w:rPr>
                <w:b w:val="0"/>
                <w:sz w:val="14"/>
              </w:rPr>
              <w:t>colombia</w:t>
            </w:r>
          </w:p>
        </w:tc>
      </w:tr>
      <w:tr>
        <w:tc>
          <w:tcPr>
            <w:tcW w:type="dxa" w:w="2484"/>
            <w:vAlign w:val="center"/>
          </w:tcPr>
          <w:p>
            <w:r/>
            <w:r>
              <w:rPr>
                <w:b w:val="0"/>
                <w:sz w:val="14"/>
              </w:rPr>
              <w:t>9</w:t>
            </w:r>
          </w:p>
        </w:tc>
        <w:tc>
          <w:tcPr>
            <w:tcW w:type="dxa" w:w="2484"/>
            <w:vAlign w:val="center"/>
          </w:tcPr>
          <w:p>
            <w:r/>
            <w:r>
              <w:rPr>
                <w:b w:val="0"/>
                <w:sz w:val="14"/>
              </w:rPr>
              <w:t>dtf_dist_max63</w:t>
            </w:r>
          </w:p>
        </w:tc>
        <w:tc>
          <w:tcPr>
            <w:tcW w:type="dxa" w:w="2484"/>
            <w:vAlign w:val="center"/>
          </w:tcPr>
          <w:p>
            <w:r/>
            <w:r>
              <w:rPr>
                <w:b w:val="0"/>
                <w:sz w:val="14"/>
              </w:rPr>
              <w:t>0,00512</w:t>
            </w:r>
          </w:p>
        </w:tc>
        <w:tc>
          <w:tcPr>
            <w:tcW w:type="dxa" w:w="2484"/>
            <w:vAlign w:val="center"/>
          </w:tcPr>
          <w:p>
            <w:r/>
            <w:r>
              <w:rPr>
                <w:b w:val="0"/>
                <w:sz w:val="14"/>
              </w:rPr>
              <w:t>colombia</w:t>
            </w:r>
          </w:p>
        </w:tc>
      </w:tr>
      <w:tr>
        <w:tc>
          <w:tcPr>
            <w:tcW w:type="dxa" w:w="2484"/>
            <w:vAlign w:val="center"/>
          </w:tcPr>
          <w:p>
            <w:r/>
            <w:r>
              <w:rPr>
                <w:b w:val="0"/>
                <w:sz w:val="14"/>
              </w:rPr>
              <w:t>10</w:t>
            </w:r>
          </w:p>
        </w:tc>
        <w:tc>
          <w:tcPr>
            <w:tcW w:type="dxa" w:w="2484"/>
            <w:vAlign w:val="center"/>
          </w:tcPr>
          <w:p>
            <w:r/>
            <w:r>
              <w:rPr>
                <w:b w:val="0"/>
                <w:sz w:val="14"/>
              </w:rPr>
              <w:t>bancolombia_price_usd_dist_min126</w:t>
            </w:r>
          </w:p>
        </w:tc>
        <w:tc>
          <w:tcPr>
            <w:tcW w:type="dxa" w:w="2484"/>
            <w:vAlign w:val="center"/>
          </w:tcPr>
          <w:p>
            <w:r/>
            <w:r>
              <w:rPr>
                <w:b w:val="0"/>
                <w:sz w:val="14"/>
              </w:rPr>
              <w:t>0,00512</w:t>
            </w:r>
          </w:p>
        </w:tc>
        <w:tc>
          <w:tcPr>
            <w:tcW w:type="dxa" w:w="2484"/>
            <w:vAlign w:val="center"/>
          </w:tcPr>
          <w:p>
            <w:r/>
            <w:r>
              <w:rPr>
                <w:b w:val="0"/>
                <w:sz w:val="14"/>
              </w:rPr>
              <w:t>colombia</w:t>
            </w:r>
          </w:p>
        </w:tc>
      </w:tr>
      <w:tr>
        <w:tc>
          <w:tcPr>
            <w:tcW w:type="dxa" w:w="2484"/>
            <w:vAlign w:val="center"/>
          </w:tcPr>
          <w:p>
            <w:r/>
            <w:r>
              <w:rPr>
                <w:b w:val="0"/>
                <w:sz w:val="14"/>
              </w:rPr>
              <w:t>11</w:t>
            </w:r>
          </w:p>
        </w:tc>
        <w:tc>
          <w:tcPr>
            <w:tcW w:type="dxa" w:w="2484"/>
            <w:vAlign w:val="center"/>
          </w:tcPr>
          <w:p>
            <w:r/>
            <w:r>
              <w:rPr>
                <w:b w:val="0"/>
                <w:sz w:val="14"/>
              </w:rPr>
              <w:t>cl_f_volume_log</w:t>
            </w:r>
          </w:p>
        </w:tc>
        <w:tc>
          <w:tcPr>
            <w:tcW w:type="dxa" w:w="2484"/>
            <w:vAlign w:val="center"/>
          </w:tcPr>
          <w:p>
            <w:r/>
            <w:r>
              <w:rPr>
                <w:b w:val="0"/>
                <w:sz w:val="14"/>
              </w:rPr>
              <w:t>0,00512</w:t>
            </w:r>
          </w:p>
        </w:tc>
        <w:tc>
          <w:tcPr>
            <w:tcW w:type="dxa" w:w="2484"/>
            <w:vAlign w:val="center"/>
          </w:tcPr>
          <w:p>
            <w:r/>
            <w:r>
              <w:rPr>
                <w:b w:val="0"/>
                <w:sz w:val="14"/>
              </w:rPr>
              <w:t>energia</w:t>
            </w:r>
          </w:p>
        </w:tc>
      </w:tr>
      <w:tr>
        <w:tc>
          <w:tcPr>
            <w:tcW w:type="dxa" w:w="2484"/>
            <w:vAlign w:val="center"/>
          </w:tcPr>
          <w:p>
            <w:r/>
            <w:r>
              <w:rPr>
                <w:b w:val="0"/>
                <w:sz w:val="14"/>
              </w:rPr>
              <w:t>12</w:t>
            </w:r>
          </w:p>
        </w:tc>
        <w:tc>
          <w:tcPr>
            <w:tcW w:type="dxa" w:w="2484"/>
            <w:vAlign w:val="center"/>
          </w:tcPr>
          <w:p>
            <w:r/>
            <w:r>
              <w:rPr>
                <w:b w:val="0"/>
                <w:sz w:val="14"/>
              </w:rPr>
              <w:t>hg_f_volume_dist_max63</w:t>
            </w:r>
          </w:p>
        </w:tc>
        <w:tc>
          <w:tcPr>
            <w:tcW w:type="dxa" w:w="2484"/>
            <w:vAlign w:val="center"/>
          </w:tcPr>
          <w:p>
            <w:r/>
            <w:r>
              <w:rPr>
                <w:b w:val="0"/>
                <w:sz w:val="14"/>
              </w:rPr>
              <w:t>0,00472</w:t>
            </w:r>
          </w:p>
        </w:tc>
        <w:tc>
          <w:tcPr>
            <w:tcW w:type="dxa" w:w="2484"/>
            <w:vAlign w:val="center"/>
          </w:tcPr>
          <w:p>
            <w:r/>
            <w:r>
              <w:rPr>
                <w:b w:val="0"/>
                <w:sz w:val="14"/>
              </w:rPr>
              <w:t>metales</w:t>
            </w:r>
          </w:p>
        </w:tc>
      </w:tr>
      <w:tr>
        <w:tc>
          <w:tcPr>
            <w:tcW w:type="dxa" w:w="2484"/>
            <w:vAlign w:val="center"/>
          </w:tcPr>
          <w:p>
            <w:r/>
            <w:r>
              <w:rPr>
                <w:b w:val="0"/>
                <w:sz w:val="14"/>
              </w:rPr>
              <w:t>13</w:t>
            </w:r>
          </w:p>
        </w:tc>
        <w:tc>
          <w:tcPr>
            <w:tcW w:type="dxa" w:w="2484"/>
            <w:vAlign w:val="center"/>
          </w:tcPr>
          <w:p>
            <w:r/>
            <w:r>
              <w:rPr>
                <w:b w:val="0"/>
                <w:sz w:val="14"/>
              </w:rPr>
              <w:t>pa_f_high_pct_21</w:t>
            </w:r>
          </w:p>
        </w:tc>
        <w:tc>
          <w:tcPr>
            <w:tcW w:type="dxa" w:w="2484"/>
            <w:vAlign w:val="center"/>
          </w:tcPr>
          <w:p>
            <w:r/>
            <w:r>
              <w:rPr>
                <w:b w:val="0"/>
                <w:sz w:val="14"/>
              </w:rPr>
              <w:t>0,00472</w:t>
            </w:r>
          </w:p>
        </w:tc>
        <w:tc>
          <w:tcPr>
            <w:tcW w:type="dxa" w:w="2484"/>
            <w:vAlign w:val="center"/>
          </w:tcPr>
          <w:p>
            <w:r/>
            <w:r>
              <w:rPr>
                <w:b w:val="0"/>
                <w:sz w:val="14"/>
              </w:rPr>
              <w:t>metales</w:t>
            </w:r>
          </w:p>
        </w:tc>
      </w:tr>
      <w:tr>
        <w:tc>
          <w:tcPr>
            <w:tcW w:type="dxa" w:w="2484"/>
            <w:vAlign w:val="center"/>
          </w:tcPr>
          <w:p>
            <w:r/>
            <w:r>
              <w:rPr>
                <w:b w:val="0"/>
                <w:sz w:val="14"/>
              </w:rPr>
              <w:t>14</w:t>
            </w:r>
          </w:p>
        </w:tc>
        <w:tc>
          <w:tcPr>
            <w:tcW w:type="dxa" w:w="2484"/>
            <w:vAlign w:val="center"/>
          </w:tcPr>
          <w:p>
            <w:r/>
            <w:r>
              <w:rPr>
                <w:b w:val="0"/>
                <w:sz w:val="14"/>
              </w:rPr>
              <w:t>precio_cafe_centusd_dist_min63</w:t>
            </w:r>
          </w:p>
        </w:tc>
        <w:tc>
          <w:tcPr>
            <w:tcW w:type="dxa" w:w="2484"/>
            <w:vAlign w:val="center"/>
          </w:tcPr>
          <w:p>
            <w:r/>
            <w:r>
              <w:rPr>
                <w:b w:val="0"/>
                <w:sz w:val="14"/>
              </w:rPr>
              <w:t>0,00439</w:t>
            </w:r>
          </w:p>
        </w:tc>
        <w:tc>
          <w:tcPr>
            <w:tcW w:type="dxa" w:w="2484"/>
            <w:vAlign w:val="center"/>
          </w:tcPr>
          <w:p>
            <w:r/>
            <w:r>
              <w:rPr>
                <w:b w:val="0"/>
                <w:sz w:val="14"/>
              </w:rPr>
              <w:t>colombia</w:t>
            </w:r>
          </w:p>
        </w:tc>
      </w:tr>
      <w:tr>
        <w:tc>
          <w:tcPr>
            <w:tcW w:type="dxa" w:w="2484"/>
            <w:vAlign w:val="center"/>
          </w:tcPr>
          <w:p>
            <w:r/>
            <w:r>
              <w:rPr>
                <w:b w:val="0"/>
                <w:sz w:val="14"/>
              </w:rPr>
              <w:t>15</w:t>
            </w:r>
          </w:p>
        </w:tc>
        <w:tc>
          <w:tcPr>
            <w:tcW w:type="dxa" w:w="2484"/>
            <w:vAlign w:val="center"/>
          </w:tcPr>
          <w:p>
            <w:r/>
            <w:r>
              <w:rPr>
                <w:b w:val="0"/>
                <w:sz w:val="14"/>
              </w:rPr>
              <w:t>si_f_volume_dist_max126</w:t>
            </w:r>
          </w:p>
        </w:tc>
        <w:tc>
          <w:tcPr>
            <w:tcW w:type="dxa" w:w="2484"/>
            <w:vAlign w:val="center"/>
          </w:tcPr>
          <w:p>
            <w:r/>
            <w:r>
              <w:rPr>
                <w:b w:val="0"/>
                <w:sz w:val="14"/>
              </w:rPr>
              <w:t>0,00425</w:t>
            </w:r>
          </w:p>
        </w:tc>
        <w:tc>
          <w:tcPr>
            <w:tcW w:type="dxa" w:w="2484"/>
            <w:vAlign w:val="center"/>
          </w:tcPr>
          <w:p>
            <w:r/>
            <w:r>
              <w:rPr>
                <w:b w:val="0"/>
                <w:sz w:val="14"/>
              </w:rPr>
              <w:t>metales</w:t>
            </w:r>
          </w:p>
        </w:tc>
      </w:tr>
      <w:tr>
        <w:tc>
          <w:tcPr>
            <w:tcW w:type="dxa" w:w="2484"/>
            <w:vAlign w:val="center"/>
          </w:tcPr>
          <w:p>
            <w:r/>
            <w:r>
              <w:rPr>
                <w:b w:val="0"/>
                <w:sz w:val="14"/>
              </w:rPr>
              <w:t>16</w:t>
            </w:r>
          </w:p>
        </w:tc>
        <w:tc>
          <w:tcPr>
            <w:tcW w:type="dxa" w:w="2484"/>
            <w:vAlign w:val="center"/>
          </w:tcPr>
          <w:p>
            <w:r/>
            <w:r>
              <w:rPr>
                <w:b w:val="0"/>
                <w:sz w:val="14"/>
              </w:rPr>
              <w:t>slv_open_dist_min63</w:t>
            </w:r>
          </w:p>
        </w:tc>
        <w:tc>
          <w:tcPr>
            <w:tcW w:type="dxa" w:w="2484"/>
            <w:vAlign w:val="center"/>
          </w:tcPr>
          <w:p>
            <w:r/>
            <w:r>
              <w:rPr>
                <w:b w:val="0"/>
                <w:sz w:val="14"/>
              </w:rPr>
              <w:t>0,00402</w:t>
            </w:r>
          </w:p>
        </w:tc>
        <w:tc>
          <w:tcPr>
            <w:tcW w:type="dxa" w:w="2484"/>
            <w:vAlign w:val="center"/>
          </w:tcPr>
          <w:p>
            <w:r/>
            <w:r>
              <w:rPr>
                <w:b w:val="0"/>
                <w:sz w:val="14"/>
              </w:rPr>
              <w:t>metales</w:t>
            </w:r>
          </w:p>
        </w:tc>
      </w:tr>
      <w:tr>
        <w:tc>
          <w:tcPr>
            <w:tcW w:type="dxa" w:w="2484"/>
            <w:vAlign w:val="center"/>
          </w:tcPr>
          <w:p>
            <w:r/>
            <w:r>
              <w:rPr>
                <w:b w:val="0"/>
                <w:sz w:val="14"/>
              </w:rPr>
              <w:t>17</w:t>
            </w:r>
          </w:p>
        </w:tc>
        <w:tc>
          <w:tcPr>
            <w:tcW w:type="dxa" w:w="2484"/>
            <w:vAlign w:val="center"/>
          </w:tcPr>
          <w:p>
            <w:r/>
            <w:r>
              <w:rPr>
                <w:b w:val="0"/>
                <w:sz w:val="14"/>
              </w:rPr>
              <w:t>slv_low_dist_min63</w:t>
            </w:r>
          </w:p>
        </w:tc>
        <w:tc>
          <w:tcPr>
            <w:tcW w:type="dxa" w:w="2484"/>
            <w:vAlign w:val="center"/>
          </w:tcPr>
          <w:p>
            <w:r/>
            <w:r>
              <w:rPr>
                <w:b w:val="0"/>
                <w:sz w:val="14"/>
              </w:rPr>
              <w:t>0,00402</w:t>
            </w:r>
          </w:p>
        </w:tc>
        <w:tc>
          <w:tcPr>
            <w:tcW w:type="dxa" w:w="2484"/>
            <w:vAlign w:val="center"/>
          </w:tcPr>
          <w:p>
            <w:r/>
            <w:r>
              <w:rPr>
                <w:b w:val="0"/>
                <w:sz w:val="14"/>
              </w:rPr>
              <w:t>metales</w:t>
            </w:r>
          </w:p>
        </w:tc>
      </w:tr>
      <w:tr>
        <w:tc>
          <w:tcPr>
            <w:tcW w:type="dxa" w:w="2484"/>
            <w:vAlign w:val="center"/>
          </w:tcPr>
          <w:p>
            <w:r/>
            <w:r>
              <w:rPr>
                <w:b w:val="0"/>
                <w:sz w:val="14"/>
              </w:rPr>
              <w:t>18</w:t>
            </w:r>
          </w:p>
        </w:tc>
        <w:tc>
          <w:tcPr>
            <w:tcW w:type="dxa" w:w="2484"/>
            <w:vAlign w:val="center"/>
          </w:tcPr>
          <w:p>
            <w:r/>
            <w:r>
              <w:rPr>
                <w:b w:val="0"/>
                <w:sz w:val="14"/>
              </w:rPr>
              <w:t>si_f_volume_dist_max63</w:t>
            </w:r>
          </w:p>
        </w:tc>
        <w:tc>
          <w:tcPr>
            <w:tcW w:type="dxa" w:w="2484"/>
            <w:vAlign w:val="center"/>
          </w:tcPr>
          <w:p>
            <w:r/>
            <w:r>
              <w:rPr>
                <w:b w:val="0"/>
                <w:sz w:val="14"/>
              </w:rPr>
              <w:t>0,00398</w:t>
            </w:r>
          </w:p>
        </w:tc>
        <w:tc>
          <w:tcPr>
            <w:tcW w:type="dxa" w:w="2484"/>
            <w:vAlign w:val="center"/>
          </w:tcPr>
          <w:p>
            <w:r/>
            <w:r>
              <w:rPr>
                <w:b w:val="0"/>
                <w:sz w:val="14"/>
              </w:rPr>
              <w:t>metales</w:t>
            </w:r>
          </w:p>
        </w:tc>
      </w:tr>
      <w:tr>
        <w:tc>
          <w:tcPr>
            <w:tcW w:type="dxa" w:w="2484"/>
            <w:vAlign w:val="center"/>
          </w:tcPr>
          <w:p>
            <w:r/>
            <w:r>
              <w:rPr>
                <w:b w:val="0"/>
                <w:sz w:val="14"/>
              </w:rPr>
              <w:t>19</w:t>
            </w:r>
          </w:p>
        </w:tc>
        <w:tc>
          <w:tcPr>
            <w:tcW w:type="dxa" w:w="2484"/>
            <w:vAlign w:val="center"/>
          </w:tcPr>
          <w:p>
            <w:r/>
            <w:r>
              <w:rPr>
                <w:b w:val="0"/>
                <w:sz w:val="14"/>
              </w:rPr>
              <w:t>si_f_adj_close_dist_min63</w:t>
            </w:r>
          </w:p>
        </w:tc>
        <w:tc>
          <w:tcPr>
            <w:tcW w:type="dxa" w:w="2484"/>
            <w:vAlign w:val="center"/>
          </w:tcPr>
          <w:p>
            <w:r/>
            <w:r>
              <w:rPr>
                <w:b w:val="0"/>
                <w:sz w:val="14"/>
              </w:rPr>
              <w:t>0,00354</w:t>
            </w:r>
          </w:p>
        </w:tc>
        <w:tc>
          <w:tcPr>
            <w:tcW w:type="dxa" w:w="2484"/>
            <w:vAlign w:val="center"/>
          </w:tcPr>
          <w:p>
            <w:r/>
            <w:r>
              <w:rPr>
                <w:b w:val="0"/>
                <w:sz w:val="14"/>
              </w:rPr>
              <w:t>metales</w:t>
            </w:r>
          </w:p>
        </w:tc>
      </w:tr>
      <w:tr>
        <w:tc>
          <w:tcPr>
            <w:tcW w:type="dxa" w:w="2484"/>
            <w:vAlign w:val="center"/>
          </w:tcPr>
          <w:p>
            <w:r/>
            <w:r>
              <w:rPr>
                <w:b w:val="0"/>
                <w:sz w:val="14"/>
              </w:rPr>
              <w:t>20</w:t>
            </w:r>
          </w:p>
        </w:tc>
        <w:tc>
          <w:tcPr>
            <w:tcW w:type="dxa" w:w="2484"/>
            <w:vAlign w:val="center"/>
          </w:tcPr>
          <w:p>
            <w:r/>
            <w:r>
              <w:rPr>
                <w:b w:val="0"/>
                <w:sz w:val="14"/>
              </w:rPr>
              <w:t>hg_f_low_lag21</w:t>
            </w:r>
          </w:p>
        </w:tc>
        <w:tc>
          <w:tcPr>
            <w:tcW w:type="dxa" w:w="2484"/>
            <w:vAlign w:val="center"/>
          </w:tcPr>
          <w:p>
            <w:r/>
            <w:r>
              <w:rPr>
                <w:b w:val="0"/>
                <w:sz w:val="14"/>
              </w:rPr>
              <w:t>0,00354</w:t>
            </w:r>
          </w:p>
        </w:tc>
        <w:tc>
          <w:tcPr>
            <w:tcW w:type="dxa" w:w="2484"/>
            <w:vAlign w:val="center"/>
          </w:tcPr>
          <w:p>
            <w:r/>
            <w:r>
              <w:rPr>
                <w:b w:val="0"/>
                <w:sz w:val="14"/>
              </w:rPr>
              <w:t>metales</w:t>
            </w:r>
          </w:p>
        </w:tc>
      </w:tr>
    </w:tbl>
    <w:p/>
    <w:p>
      <w:pPr>
        <w:pStyle w:val="Heading2"/>
      </w:pPr>
      <w:r>
        <w:rPr>
          <w:rFonts w:ascii="Aptos Display" w:hAnsi="Aptos Display"/>
          <w:color w:val="2F5496"/>
        </w:rPr>
        <w:t>7.2 Auditoria anti-fuga y dependencia global</w:t>
      </w:r>
    </w:p>
    <w:p>
      <w:r>
        <w:t>La auditoria muestra que el desempeño cae al retirar componentes cercanos al oro internacional y a metales. Esto no invalida el modelo, pero si obliga a presentar el resultado como una arquitectura de contexto global y local, no como un predictor puramente colombiano. El caso macro-only mantiene una señal relevante, pero inferior al mejor modelo completo.</w:t>
      </w:r>
    </w:p>
    <w:p>
      <w:pPr>
        <w:jc w:val="center"/>
      </w:pPr>
      <w:r>
        <w:rPr>
          <w:b/>
          <w:sz w:val="20"/>
        </w:rPr>
        <w:t>Tabla 9. Auditoria de dependencia por conjuntos de variables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F4E79"/>
            <w:vAlign w:val="center"/>
          </w:tcPr>
          <w:p>
            <w:r/>
            <w:r>
              <w:rPr>
                <w:b/>
                <w:color w:val="FFFFFF"/>
                <w:sz w:val="14"/>
              </w:rPr>
              <w:t>Caso auditoria</w:t>
            </w:r>
          </w:p>
        </w:tc>
        <w:tc>
          <w:tcPr>
            <w:tcW w:type="dxa" w:w="1656"/>
            <w:shd w:fill="1F4E79"/>
            <w:vAlign w:val="center"/>
          </w:tcPr>
          <w:p>
            <w:r/>
            <w:r>
              <w:rPr>
                <w:b/>
                <w:color w:val="FFFFFF"/>
                <w:sz w:val="14"/>
              </w:rPr>
              <w:t>Mejor modelo</w:t>
            </w:r>
          </w:p>
        </w:tc>
        <w:tc>
          <w:tcPr>
            <w:tcW w:type="dxa" w:w="1656"/>
            <w:shd w:fill="1F4E79"/>
            <w:vAlign w:val="center"/>
          </w:tcPr>
          <w:p>
            <w:r/>
            <w:r>
              <w:rPr>
                <w:b/>
                <w:color w:val="FFFFFF"/>
                <w:sz w:val="14"/>
              </w:rPr>
              <w:t>BACC</w:t>
            </w:r>
          </w:p>
        </w:tc>
        <w:tc>
          <w:tcPr>
            <w:tcW w:type="dxa" w:w="1656"/>
            <w:shd w:fill="1F4E79"/>
            <w:vAlign w:val="center"/>
          </w:tcPr>
          <w:p>
            <w:r/>
            <w:r>
              <w:rPr>
                <w:b/>
                <w:color w:val="FFFFFF"/>
                <w:sz w:val="14"/>
              </w:rPr>
              <w:t>Delta vs mejor</w:t>
            </w:r>
          </w:p>
        </w:tc>
        <w:tc>
          <w:tcPr>
            <w:tcW w:type="dxa" w:w="1656"/>
            <w:shd w:fill="1F4E79"/>
            <w:vAlign w:val="center"/>
          </w:tcPr>
          <w:p>
            <w:r/>
            <w:r>
              <w:rPr>
                <w:b/>
                <w:color w:val="FFFFFF"/>
                <w:sz w:val="14"/>
              </w:rPr>
              <w:t>Estado</w:t>
            </w:r>
          </w:p>
        </w:tc>
        <w:tc>
          <w:tcPr>
            <w:tcW w:type="dxa" w:w="1656"/>
            <w:shd w:fill="1F4E79"/>
            <w:vAlign w:val="center"/>
          </w:tcPr>
          <w:p>
            <w:r/>
            <w:r>
              <w:rPr>
                <w:b/>
                <w:color w:val="FFFFFF"/>
                <w:sz w:val="14"/>
              </w:rPr>
              <w:t>Interpretacion</w:t>
            </w:r>
          </w:p>
        </w:tc>
      </w:tr>
      <w:tr>
        <w:tc>
          <w:tcPr>
            <w:tcW w:type="dxa" w:w="1656"/>
            <w:vAlign w:val="center"/>
          </w:tcPr>
          <w:p>
            <w:r/>
            <w:r>
              <w:rPr>
                <w:b w:val="0"/>
                <w:sz w:val="14"/>
              </w:rPr>
              <w:t>colombia_only</w:t>
            </w:r>
          </w:p>
        </w:tc>
        <w:tc>
          <w:tcPr>
            <w:tcW w:type="dxa" w:w="1656"/>
            <w:vAlign w:val="center"/>
          </w:tcPr>
          <w:p>
            <w:r/>
            <w:r>
              <w:rPr>
                <w:b w:val="0"/>
                <w:sz w:val="14"/>
              </w:rPr>
              <w:t>XGBClassifier</w:t>
            </w:r>
          </w:p>
        </w:tc>
        <w:tc>
          <w:tcPr>
            <w:tcW w:type="dxa" w:w="1656"/>
            <w:vAlign w:val="center"/>
          </w:tcPr>
          <w:p>
            <w:r/>
            <w:r>
              <w:rPr>
                <w:b w:val="0"/>
                <w:sz w:val="14"/>
              </w:rPr>
              <w:t>65.21 %</w:t>
            </w:r>
          </w:p>
        </w:tc>
        <w:tc>
          <w:tcPr>
            <w:tcW w:type="dxa" w:w="1656"/>
            <w:vAlign w:val="center"/>
          </w:tcPr>
          <w:p>
            <w:r/>
            <w:r>
              <w:rPr>
                <w:b w:val="0"/>
                <w:sz w:val="14"/>
              </w:rPr>
              <w:t>-22.13 %</w:t>
            </w:r>
          </w:p>
        </w:tc>
        <w:tc>
          <w:tcPr>
            <w:tcW w:type="dxa" w:w="1656"/>
            <w:vAlign w:val="center"/>
          </w:tcPr>
          <w:p>
            <w:r/>
            <w:r>
              <w:rPr>
                <w:b w:val="0"/>
                <w:sz w:val="14"/>
              </w:rPr>
              <w:t>rojo_dependencia_alta</w:t>
            </w:r>
          </w:p>
        </w:tc>
        <w:tc>
          <w:tcPr>
            <w:tcW w:type="dxa" w:w="1656"/>
            <w:vAlign w:val="center"/>
          </w:tcPr>
          <w:p>
            <w:r/>
            <w:r>
              <w:rPr>
                <w:b w:val="0"/>
                <w:sz w:val="14"/>
              </w:rPr>
              <w:t>Base local sin contexto global.</w:t>
            </w:r>
          </w:p>
        </w:tc>
      </w:tr>
      <w:tr>
        <w:tc>
          <w:tcPr>
            <w:tcW w:type="dxa" w:w="1656"/>
            <w:vAlign w:val="center"/>
          </w:tcPr>
          <w:p>
            <w:r/>
            <w:r>
              <w:rPr>
                <w:b w:val="0"/>
                <w:sz w:val="14"/>
              </w:rPr>
              <w:t>colombia_plus_global_compact</w:t>
            </w:r>
          </w:p>
        </w:tc>
        <w:tc>
          <w:tcPr>
            <w:tcW w:type="dxa" w:w="1656"/>
            <w:vAlign w:val="center"/>
          </w:tcPr>
          <w:p>
            <w:r/>
            <w:r>
              <w:rPr>
                <w:b w:val="0"/>
                <w:sz w:val="14"/>
              </w:rPr>
              <w:t>XGBClassifier</w:t>
            </w:r>
          </w:p>
        </w:tc>
        <w:tc>
          <w:tcPr>
            <w:tcW w:type="dxa" w:w="1656"/>
            <w:vAlign w:val="center"/>
          </w:tcPr>
          <w:p>
            <w:r/>
            <w:r>
              <w:rPr>
                <w:b w:val="0"/>
                <w:sz w:val="14"/>
              </w:rPr>
              <w:t>68.66 %</w:t>
            </w:r>
          </w:p>
        </w:tc>
        <w:tc>
          <w:tcPr>
            <w:tcW w:type="dxa" w:w="1656"/>
            <w:vAlign w:val="center"/>
          </w:tcPr>
          <w:p>
            <w:r/>
            <w:r>
              <w:rPr>
                <w:b w:val="0"/>
                <w:sz w:val="14"/>
              </w:rPr>
              <w:t>-18.69 %</w:t>
            </w:r>
          </w:p>
        </w:tc>
        <w:tc>
          <w:tcPr>
            <w:tcW w:type="dxa" w:w="1656"/>
            <w:vAlign w:val="center"/>
          </w:tcPr>
          <w:p>
            <w:r/>
            <w:r>
              <w:rPr>
                <w:b w:val="0"/>
                <w:sz w:val="14"/>
              </w:rPr>
              <w:t>referencia</w:t>
            </w:r>
          </w:p>
        </w:tc>
        <w:tc>
          <w:tcPr>
            <w:tcW w:type="dxa" w:w="1656"/>
            <w:vAlign w:val="center"/>
          </w:tcPr>
          <w:p>
            <w:r/>
            <w:r>
              <w:rPr>
                <w:b w:val="0"/>
                <w:sz w:val="14"/>
              </w:rPr>
              <w:t>Modelo global compacto original.</w:t>
            </w:r>
          </w:p>
        </w:tc>
      </w:tr>
      <w:tr>
        <w:tc>
          <w:tcPr>
            <w:tcW w:type="dxa" w:w="1656"/>
            <w:vAlign w:val="center"/>
          </w:tcPr>
          <w:p>
            <w:r/>
            <w:r>
              <w:rPr>
                <w:b w:val="0"/>
                <w:sz w:val="14"/>
              </w:rPr>
              <w:t>global_no_gold_direct</w:t>
            </w:r>
          </w:p>
        </w:tc>
        <w:tc>
          <w:tcPr>
            <w:tcW w:type="dxa" w:w="1656"/>
            <w:vAlign w:val="center"/>
          </w:tcPr>
          <w:p>
            <w:r/>
            <w:r>
              <w:rPr>
                <w:b w:val="0"/>
                <w:sz w:val="14"/>
              </w:rPr>
              <w:t>HistGradientBoostingClassifier</w:t>
            </w:r>
          </w:p>
        </w:tc>
        <w:tc>
          <w:tcPr>
            <w:tcW w:type="dxa" w:w="1656"/>
            <w:vAlign w:val="center"/>
          </w:tcPr>
          <w:p>
            <w:r/>
            <w:r>
              <w:rPr>
                <w:b w:val="0"/>
                <w:sz w:val="14"/>
              </w:rPr>
              <w:t>66.53 %</w:t>
            </w:r>
          </w:p>
        </w:tc>
        <w:tc>
          <w:tcPr>
            <w:tcW w:type="dxa" w:w="1656"/>
            <w:vAlign w:val="center"/>
          </w:tcPr>
          <w:p>
            <w:r/>
            <w:r>
              <w:rPr>
                <w:b w:val="0"/>
                <w:sz w:val="14"/>
              </w:rPr>
              <w:t>-20.81 %</w:t>
            </w:r>
          </w:p>
        </w:tc>
        <w:tc>
          <w:tcPr>
            <w:tcW w:type="dxa" w:w="1656"/>
            <w:vAlign w:val="center"/>
          </w:tcPr>
          <w:p>
            <w:r/>
            <w:r>
              <w:rPr>
                <w:b w:val="0"/>
                <w:sz w:val="14"/>
              </w:rPr>
              <w:t>rojo_dependencia_alta</w:t>
            </w:r>
          </w:p>
        </w:tc>
        <w:tc>
          <w:tcPr>
            <w:tcW w:type="dxa" w:w="1656"/>
            <w:vAlign w:val="center"/>
          </w:tcPr>
          <w:p>
            <w:r/>
            <w:r>
              <w:rPr>
                <w:b w:val="0"/>
                <w:sz w:val="14"/>
              </w:rPr>
              <w:t>Excluye GLD, IAU y GC=F.</w:t>
            </w:r>
          </w:p>
        </w:tc>
      </w:tr>
      <w:tr>
        <w:tc>
          <w:tcPr>
            <w:tcW w:type="dxa" w:w="1656"/>
            <w:vAlign w:val="center"/>
          </w:tcPr>
          <w:p>
            <w:r/>
            <w:r>
              <w:rPr>
                <w:b w:val="0"/>
                <w:sz w:val="14"/>
              </w:rPr>
              <w:t>global_no_metals</w:t>
            </w:r>
          </w:p>
        </w:tc>
        <w:tc>
          <w:tcPr>
            <w:tcW w:type="dxa" w:w="1656"/>
            <w:vAlign w:val="center"/>
          </w:tcPr>
          <w:p>
            <w:r/>
            <w:r>
              <w:rPr>
                <w:b w:val="0"/>
                <w:sz w:val="14"/>
              </w:rPr>
              <w:t>XGBClassifier</w:t>
            </w:r>
          </w:p>
        </w:tc>
        <w:tc>
          <w:tcPr>
            <w:tcW w:type="dxa" w:w="1656"/>
            <w:vAlign w:val="center"/>
          </w:tcPr>
          <w:p>
            <w:r/>
            <w:r>
              <w:rPr>
                <w:b w:val="0"/>
                <w:sz w:val="14"/>
              </w:rPr>
              <w:t>62.61 %</w:t>
            </w:r>
          </w:p>
        </w:tc>
        <w:tc>
          <w:tcPr>
            <w:tcW w:type="dxa" w:w="1656"/>
            <w:vAlign w:val="center"/>
          </w:tcPr>
          <w:p>
            <w:r/>
            <w:r>
              <w:rPr>
                <w:b w:val="0"/>
                <w:sz w:val="14"/>
              </w:rPr>
              <w:t>-24.73 %</w:t>
            </w:r>
          </w:p>
        </w:tc>
        <w:tc>
          <w:tcPr>
            <w:tcW w:type="dxa" w:w="1656"/>
            <w:vAlign w:val="center"/>
          </w:tcPr>
          <w:p>
            <w:r/>
            <w:r>
              <w:rPr>
                <w:b w:val="0"/>
                <w:sz w:val="14"/>
              </w:rPr>
              <w:t>rojo_dependencia_alta</w:t>
            </w:r>
          </w:p>
        </w:tc>
        <w:tc>
          <w:tcPr>
            <w:tcW w:type="dxa" w:w="1656"/>
            <w:vAlign w:val="center"/>
          </w:tcPr>
          <w:p>
            <w:r/>
            <w:r>
              <w:rPr>
                <w:b w:val="0"/>
                <w:sz w:val="14"/>
              </w:rPr>
              <w:t>Excluye oro, plata y metales cercanos.</w:t>
            </w:r>
          </w:p>
        </w:tc>
      </w:tr>
      <w:tr>
        <w:tc>
          <w:tcPr>
            <w:tcW w:type="dxa" w:w="1656"/>
            <w:vAlign w:val="center"/>
          </w:tcPr>
          <w:p>
            <w:r/>
            <w:r>
              <w:rPr>
                <w:b w:val="0"/>
                <w:sz w:val="14"/>
              </w:rPr>
              <w:t>global_macro_only</w:t>
            </w:r>
          </w:p>
        </w:tc>
        <w:tc>
          <w:tcPr>
            <w:tcW w:type="dxa" w:w="1656"/>
            <w:vAlign w:val="center"/>
          </w:tcPr>
          <w:p>
            <w:r/>
            <w:r>
              <w:rPr>
                <w:b w:val="0"/>
                <w:sz w:val="14"/>
              </w:rPr>
              <w:t>XGBClassifier</w:t>
            </w:r>
          </w:p>
        </w:tc>
        <w:tc>
          <w:tcPr>
            <w:tcW w:type="dxa" w:w="1656"/>
            <w:vAlign w:val="center"/>
          </w:tcPr>
          <w:p>
            <w:r/>
            <w:r>
              <w:rPr>
                <w:b w:val="0"/>
                <w:sz w:val="14"/>
              </w:rPr>
              <w:t>72.64 %</w:t>
            </w:r>
          </w:p>
        </w:tc>
        <w:tc>
          <w:tcPr>
            <w:tcW w:type="dxa" w:w="1656"/>
            <w:vAlign w:val="center"/>
          </w:tcPr>
          <w:p>
            <w:r/>
            <w:r>
              <w:rPr>
                <w:b w:val="0"/>
                <w:sz w:val="14"/>
              </w:rPr>
              <w:t>-14.70 %</w:t>
            </w:r>
          </w:p>
        </w:tc>
        <w:tc>
          <w:tcPr>
            <w:tcW w:type="dxa" w:w="1656"/>
            <w:vAlign w:val="center"/>
          </w:tcPr>
          <w:p>
            <w:r/>
            <w:r>
              <w:rPr>
                <w:b w:val="0"/>
                <w:sz w:val="14"/>
              </w:rPr>
              <w:t>rojo_dependencia_alta</w:t>
            </w:r>
          </w:p>
        </w:tc>
        <w:tc>
          <w:tcPr>
            <w:tcW w:type="dxa" w:w="1656"/>
            <w:vAlign w:val="center"/>
          </w:tcPr>
          <w:p>
            <w:r/>
            <w:r>
              <w:rPr>
                <w:b w:val="0"/>
                <w:sz w:val="14"/>
              </w:rPr>
              <w:t>Conserva solo macro global: dólar, VIX, tasas, equity, petróleo.</w:t>
            </w:r>
          </w:p>
        </w:tc>
      </w:tr>
    </w:tbl>
    <w:p/>
    <w:p>
      <w:pPr>
        <w:jc w:val="center"/>
      </w:pPr>
      <w:r>
        <w:drawing>
          <wp:inline xmlns:a="http://schemas.openxmlformats.org/drawingml/2006/main" xmlns:pic="http://schemas.openxmlformats.org/drawingml/2006/picture">
            <wp:extent cx="5760720" cy="2560320"/>
            <wp:docPr id="10" name="Picture 10"/>
            <wp:cNvGraphicFramePr>
              <a:graphicFrameLocks noChangeAspect="1"/>
            </wp:cNvGraphicFramePr>
            <a:graphic>
              <a:graphicData uri="http://schemas.openxmlformats.org/drawingml/2006/picture">
                <pic:pic>
                  <pic:nvPicPr>
                    <pic:cNvPr id="0" name="audit_bacc.png"/>
                    <pic:cNvPicPr/>
                  </pic:nvPicPr>
                  <pic:blipFill>
                    <a:blip r:embed="rId18"/>
                    <a:stretch>
                      <a:fillRect/>
                    </a:stretch>
                  </pic:blipFill>
                  <pic:spPr>
                    <a:xfrm>
                      <a:off x="0" y="0"/>
                      <a:ext cx="5760720" cy="2560320"/>
                    </a:xfrm>
                    <a:prstGeom prst="rect"/>
                  </pic:spPr>
                </pic:pic>
              </a:graphicData>
            </a:graphic>
          </wp:inline>
        </w:drawing>
      </w:r>
    </w:p>
    <w:p>
      <w:pPr>
        <w:jc w:val="center"/>
      </w:pPr>
      <w:r>
        <w:rPr>
          <w:i/>
          <w:sz w:val="18"/>
        </w:rPr>
        <w:t>Figura 10. Balanced accuracy en casos de auditoria.</w:t>
      </w:r>
    </w:p>
    <w:p>
      <w:pPr>
        <w:pStyle w:val="Heading1"/>
      </w:pPr>
      <w:r>
        <w:rPr>
          <w:rFonts w:ascii="Aptos Display" w:hAnsi="Aptos Display"/>
          <w:color w:val="1F4E79"/>
        </w:rPr>
        <w:t>8. Resultados por segmentos</w:t>
      </w:r>
    </w:p>
    <w:p>
      <w:pPr>
        <w:pStyle w:val="Heading2"/>
      </w:pPr>
      <w:r>
        <w:rPr>
          <w:rFonts w:ascii="Aptos Display" w:hAnsi="Aptos Display"/>
          <w:color w:val="2F5496"/>
        </w:rPr>
        <w:t>8.1 Desempeño por periodo presidencial</w:t>
      </w:r>
    </w:p>
    <w:p>
      <w:r>
        <w:t>El modelo final se evalua por periodo presidencial disponible en la ventana de prueba. Los segmentos con predicciones en test corresponden principalmente a Duque y Petro. El desempeño es alto en ambos, con mayor balanced accuracy durante Petro, lo que sugiere que la señal predictiva se mantuvo fuerte en el periodo reciente.</w:t>
      </w:r>
    </w:p>
    <w:p>
      <w:pPr>
        <w:jc w:val="center"/>
      </w:pPr>
      <w:r>
        <w:rPr>
          <w:b/>
          <w:sz w:val="20"/>
        </w:rPr>
        <w:t>Tabla 10. Desempeño del mejor modelo por periodo presidencial</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1F4E79"/>
            <w:vAlign w:val="center"/>
          </w:tcPr>
          <w:p>
            <w:r/>
            <w:r>
              <w:rPr>
                <w:b/>
                <w:color w:val="FFFFFF"/>
                <w:sz w:val="16"/>
              </w:rPr>
              <w:t>Periodo presidencial</w:t>
            </w:r>
          </w:p>
        </w:tc>
        <w:tc>
          <w:tcPr>
            <w:tcW w:type="dxa" w:w="1242"/>
            <w:shd w:fill="1F4E79"/>
            <w:vAlign w:val="center"/>
          </w:tcPr>
          <w:p>
            <w:r/>
            <w:r>
              <w:rPr>
                <w:b/>
                <w:color w:val="FFFFFF"/>
                <w:sz w:val="16"/>
              </w:rPr>
              <w:t>n</w:t>
            </w:r>
          </w:p>
        </w:tc>
        <w:tc>
          <w:tcPr>
            <w:tcW w:type="dxa" w:w="1242"/>
            <w:shd w:fill="1F4E79"/>
            <w:vAlign w:val="center"/>
          </w:tcPr>
          <w:p>
            <w:r/>
            <w:r>
              <w:rPr>
                <w:b/>
                <w:color w:val="FFFFFF"/>
                <w:sz w:val="16"/>
              </w:rPr>
              <w:t>Share sube</w:t>
            </w:r>
          </w:p>
        </w:tc>
        <w:tc>
          <w:tcPr>
            <w:tcW w:type="dxa" w:w="1242"/>
            <w:shd w:fill="1F4E79"/>
            <w:vAlign w:val="center"/>
          </w:tcPr>
          <w:p>
            <w:r/>
            <w:r>
              <w:rPr>
                <w:b/>
                <w:color w:val="FFFFFF"/>
                <w:sz w:val="16"/>
              </w:rPr>
              <w:t>Accuracy</w:t>
            </w:r>
          </w:p>
        </w:tc>
        <w:tc>
          <w:tcPr>
            <w:tcW w:type="dxa" w:w="1242"/>
            <w:shd w:fill="1F4E79"/>
            <w:vAlign w:val="center"/>
          </w:tcPr>
          <w:p>
            <w:r/>
            <w:r>
              <w:rPr>
                <w:b/>
                <w:color w:val="FFFFFF"/>
                <w:sz w:val="16"/>
              </w:rPr>
              <w:t>BACC</w:t>
            </w:r>
          </w:p>
        </w:tc>
        <w:tc>
          <w:tcPr>
            <w:tcW w:type="dxa" w:w="1242"/>
            <w:shd w:fill="1F4E79"/>
            <w:vAlign w:val="center"/>
          </w:tcPr>
          <w:p>
            <w:r/>
            <w:r>
              <w:rPr>
                <w:b/>
                <w:color w:val="FFFFFF"/>
                <w:sz w:val="16"/>
              </w:rPr>
              <w:t>Recall sube</w:t>
            </w:r>
          </w:p>
        </w:tc>
        <w:tc>
          <w:tcPr>
            <w:tcW w:type="dxa" w:w="1242"/>
            <w:shd w:fill="1F4E79"/>
            <w:vAlign w:val="center"/>
          </w:tcPr>
          <w:p>
            <w:r/>
            <w:r>
              <w:rPr>
                <w:b/>
                <w:color w:val="FFFFFF"/>
                <w:sz w:val="16"/>
              </w:rPr>
              <w:t>Recall no sube</w:t>
            </w:r>
          </w:p>
        </w:tc>
        <w:tc>
          <w:tcPr>
            <w:tcW w:type="dxa" w:w="1242"/>
            <w:shd w:fill="1F4E79"/>
            <w:vAlign w:val="center"/>
          </w:tcPr>
          <w:p>
            <w:r/>
            <w:r>
              <w:rPr>
                <w:b/>
                <w:color w:val="FFFFFF"/>
                <w:sz w:val="16"/>
              </w:rPr>
              <w:t>AUC</w:t>
            </w:r>
          </w:p>
        </w:tc>
      </w:tr>
      <w:tr>
        <w:tc>
          <w:tcPr>
            <w:tcW w:type="dxa" w:w="1242"/>
            <w:vAlign w:val="center"/>
          </w:tcPr>
          <w:p>
            <w:r/>
            <w:r>
              <w:rPr>
                <w:b w:val="0"/>
                <w:sz w:val="16"/>
              </w:rPr>
              <w:t>Duque</w:t>
            </w:r>
          </w:p>
        </w:tc>
        <w:tc>
          <w:tcPr>
            <w:tcW w:type="dxa" w:w="1242"/>
            <w:vAlign w:val="center"/>
          </w:tcPr>
          <w:p>
            <w:r/>
            <w:r>
              <w:rPr>
                <w:b w:val="0"/>
                <w:sz w:val="16"/>
              </w:rPr>
              <w:t>828</w:t>
            </w:r>
          </w:p>
        </w:tc>
        <w:tc>
          <w:tcPr>
            <w:tcW w:type="dxa" w:w="1242"/>
            <w:vAlign w:val="center"/>
          </w:tcPr>
          <w:p>
            <w:r/>
            <w:r>
              <w:rPr>
                <w:b w:val="0"/>
                <w:sz w:val="16"/>
              </w:rPr>
              <w:t>27.90 %</w:t>
            </w:r>
          </w:p>
        </w:tc>
        <w:tc>
          <w:tcPr>
            <w:tcW w:type="dxa" w:w="1242"/>
            <w:vAlign w:val="center"/>
          </w:tcPr>
          <w:p>
            <w:r/>
            <w:r>
              <w:rPr>
                <w:b w:val="0"/>
                <w:sz w:val="16"/>
              </w:rPr>
              <w:t>87.20 %</w:t>
            </w:r>
          </w:p>
        </w:tc>
        <w:tc>
          <w:tcPr>
            <w:tcW w:type="dxa" w:w="1242"/>
            <w:vAlign w:val="center"/>
          </w:tcPr>
          <w:p>
            <w:r/>
            <w:r>
              <w:rPr>
                <w:b w:val="0"/>
                <w:sz w:val="16"/>
              </w:rPr>
              <w:t>87.67 %</w:t>
            </w:r>
          </w:p>
        </w:tc>
        <w:tc>
          <w:tcPr>
            <w:tcW w:type="dxa" w:w="1242"/>
            <w:vAlign w:val="center"/>
          </w:tcPr>
          <w:p>
            <w:r/>
            <w:r>
              <w:rPr>
                <w:b w:val="0"/>
                <w:sz w:val="16"/>
              </w:rPr>
              <w:t>88.74 %</w:t>
            </w:r>
          </w:p>
        </w:tc>
        <w:tc>
          <w:tcPr>
            <w:tcW w:type="dxa" w:w="1242"/>
            <w:vAlign w:val="center"/>
          </w:tcPr>
          <w:p>
            <w:r/>
            <w:r>
              <w:rPr>
                <w:b w:val="0"/>
                <w:sz w:val="16"/>
              </w:rPr>
              <w:t>86.60 %</w:t>
            </w:r>
          </w:p>
        </w:tc>
        <w:tc>
          <w:tcPr>
            <w:tcW w:type="dxa" w:w="1242"/>
            <w:vAlign w:val="center"/>
          </w:tcPr>
          <w:p>
            <w:r/>
            <w:r>
              <w:rPr>
                <w:b w:val="0"/>
                <w:sz w:val="16"/>
              </w:rPr>
              <w:t>94.58 %</w:t>
            </w:r>
          </w:p>
        </w:tc>
      </w:tr>
      <w:tr>
        <w:tc>
          <w:tcPr>
            <w:tcW w:type="dxa" w:w="1242"/>
            <w:vAlign w:val="center"/>
          </w:tcPr>
          <w:p>
            <w:r/>
            <w:r>
              <w:rPr>
                <w:b w:val="0"/>
                <w:sz w:val="16"/>
              </w:rPr>
              <w:t>Petro</w:t>
            </w:r>
          </w:p>
        </w:tc>
        <w:tc>
          <w:tcPr>
            <w:tcW w:type="dxa" w:w="1242"/>
            <w:vAlign w:val="center"/>
          </w:tcPr>
          <w:p>
            <w:r/>
            <w:r>
              <w:rPr>
                <w:b w:val="0"/>
                <w:sz w:val="16"/>
              </w:rPr>
              <w:t>998</w:t>
            </w:r>
          </w:p>
        </w:tc>
        <w:tc>
          <w:tcPr>
            <w:tcW w:type="dxa" w:w="1242"/>
            <w:vAlign w:val="center"/>
          </w:tcPr>
          <w:p>
            <w:r/>
            <w:r>
              <w:rPr>
                <w:b w:val="0"/>
                <w:sz w:val="16"/>
              </w:rPr>
              <w:t>44.19 %</w:t>
            </w:r>
          </w:p>
        </w:tc>
        <w:tc>
          <w:tcPr>
            <w:tcW w:type="dxa" w:w="1242"/>
            <w:vAlign w:val="center"/>
          </w:tcPr>
          <w:p>
            <w:r/>
            <w:r>
              <w:rPr>
                <w:b w:val="0"/>
                <w:sz w:val="16"/>
              </w:rPr>
              <w:t>90.08 %</w:t>
            </w:r>
          </w:p>
        </w:tc>
        <w:tc>
          <w:tcPr>
            <w:tcW w:type="dxa" w:w="1242"/>
            <w:vAlign w:val="center"/>
          </w:tcPr>
          <w:p>
            <w:r/>
            <w:r>
              <w:rPr>
                <w:b w:val="0"/>
                <w:sz w:val="16"/>
              </w:rPr>
              <w:t>90.31 %</w:t>
            </w:r>
          </w:p>
        </w:tc>
        <w:tc>
          <w:tcPr>
            <w:tcW w:type="dxa" w:w="1242"/>
            <w:vAlign w:val="center"/>
          </w:tcPr>
          <w:p>
            <w:r/>
            <w:r>
              <w:rPr>
                <w:b w:val="0"/>
                <w:sz w:val="16"/>
              </w:rPr>
              <w:t>92.29 %</w:t>
            </w:r>
          </w:p>
        </w:tc>
        <w:tc>
          <w:tcPr>
            <w:tcW w:type="dxa" w:w="1242"/>
            <w:vAlign w:val="center"/>
          </w:tcPr>
          <w:p>
            <w:r/>
            <w:r>
              <w:rPr>
                <w:b w:val="0"/>
                <w:sz w:val="16"/>
              </w:rPr>
              <w:t>88.33 %</w:t>
            </w:r>
          </w:p>
        </w:tc>
        <w:tc>
          <w:tcPr>
            <w:tcW w:type="dxa" w:w="1242"/>
            <w:vAlign w:val="center"/>
          </w:tcPr>
          <w:p>
            <w:r/>
            <w:r>
              <w:rPr>
                <w:b w:val="0"/>
                <w:sz w:val="16"/>
              </w:rPr>
              <w:t>95.42 %</w:t>
            </w:r>
          </w:p>
        </w:tc>
      </w:tr>
    </w:tbl>
    <w:p/>
    <w:p>
      <w:pPr>
        <w:jc w:val="center"/>
      </w:pPr>
      <w:r>
        <w:rPr>
          <w:b/>
          <w:sz w:val="20"/>
        </w:rPr>
        <w:t>Tabla 11. Estadisticos del retorno h21 por periodo presidencial</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1F4E79"/>
            <w:vAlign w:val="center"/>
          </w:tcPr>
          <w:p>
            <w:r/>
            <w:r>
              <w:rPr>
                <w:b/>
                <w:color w:val="FFFFFF"/>
                <w:sz w:val="14"/>
              </w:rPr>
              <w:t>Periodo</w:t>
            </w:r>
          </w:p>
        </w:tc>
        <w:tc>
          <w:tcPr>
            <w:tcW w:type="dxa" w:w="1242"/>
            <w:shd w:fill="1F4E79"/>
            <w:vAlign w:val="center"/>
          </w:tcPr>
          <w:p>
            <w:r/>
            <w:r>
              <w:rPr>
                <w:b/>
                <w:color w:val="FFFFFF"/>
                <w:sz w:val="14"/>
              </w:rPr>
              <w:t>n</w:t>
            </w:r>
          </w:p>
        </w:tc>
        <w:tc>
          <w:tcPr>
            <w:tcW w:type="dxa" w:w="1242"/>
            <w:shd w:fill="1F4E79"/>
            <w:vAlign w:val="center"/>
          </w:tcPr>
          <w:p>
            <w:r/>
            <w:r>
              <w:rPr>
                <w:b/>
                <w:color w:val="FFFFFF"/>
                <w:sz w:val="14"/>
              </w:rPr>
              <w:t>Retorno medio h21</w:t>
            </w:r>
          </w:p>
        </w:tc>
        <w:tc>
          <w:tcPr>
            <w:tcW w:type="dxa" w:w="1242"/>
            <w:shd w:fill="1F4E79"/>
            <w:vAlign w:val="center"/>
          </w:tcPr>
          <w:p>
            <w:r/>
            <w:r>
              <w:rPr>
                <w:b/>
                <w:color w:val="FFFFFF"/>
                <w:sz w:val="14"/>
              </w:rPr>
              <w:t>Vol h21</w:t>
            </w:r>
          </w:p>
        </w:tc>
        <w:tc>
          <w:tcPr>
            <w:tcW w:type="dxa" w:w="1242"/>
            <w:shd w:fill="1F4E79"/>
            <w:vAlign w:val="center"/>
          </w:tcPr>
          <w:p>
            <w:r/>
            <w:r>
              <w:rPr>
                <w:b/>
                <w:color w:val="FFFFFF"/>
                <w:sz w:val="14"/>
              </w:rPr>
              <w:t>Share sube h21</w:t>
            </w:r>
          </w:p>
        </w:tc>
        <w:tc>
          <w:tcPr>
            <w:tcW w:type="dxa" w:w="1242"/>
            <w:shd w:fill="1F4E79"/>
            <w:vAlign w:val="center"/>
          </w:tcPr>
          <w:p>
            <w:r/>
            <w:r>
              <w:rPr>
                <w:b/>
                <w:color w:val="FFFFFF"/>
                <w:sz w:val="14"/>
              </w:rPr>
              <w:t>Share cero h21</w:t>
            </w:r>
          </w:p>
        </w:tc>
        <w:tc>
          <w:tcPr>
            <w:tcW w:type="dxa" w:w="1242"/>
            <w:shd w:fill="1F4E79"/>
            <w:vAlign w:val="center"/>
          </w:tcPr>
          <w:p>
            <w:r/>
            <w:r>
              <w:rPr>
                <w:b/>
                <w:color w:val="FFFFFF"/>
                <w:sz w:val="14"/>
              </w:rPr>
              <w:t>Vol diaria anualizada</w:t>
            </w:r>
          </w:p>
        </w:tc>
        <w:tc>
          <w:tcPr>
            <w:tcW w:type="dxa" w:w="1242"/>
            <w:shd w:fill="1F4E79"/>
            <w:vAlign w:val="center"/>
          </w:tcPr>
          <w:p>
            <w:r/>
            <w:r>
              <w:rPr>
                <w:b/>
                <w:color w:val="FFFFFF"/>
                <w:sz w:val="14"/>
              </w:rPr>
              <w:t>Sharpe aprox</w:t>
            </w:r>
          </w:p>
        </w:tc>
      </w:tr>
      <w:tr>
        <w:tc>
          <w:tcPr>
            <w:tcW w:type="dxa" w:w="1242"/>
            <w:vAlign w:val="center"/>
          </w:tcPr>
          <w:p>
            <w:r/>
            <w:r>
              <w:rPr>
                <w:b w:val="0"/>
                <w:sz w:val="14"/>
              </w:rPr>
              <w:t>Duque</w:t>
            </w:r>
          </w:p>
        </w:tc>
        <w:tc>
          <w:tcPr>
            <w:tcW w:type="dxa" w:w="1242"/>
            <w:vAlign w:val="center"/>
          </w:tcPr>
          <w:p>
            <w:r/>
            <w:r>
              <w:rPr>
                <w:b w:val="0"/>
                <w:sz w:val="14"/>
              </w:rPr>
              <w:t>1.461</w:t>
            </w:r>
          </w:p>
        </w:tc>
        <w:tc>
          <w:tcPr>
            <w:tcW w:type="dxa" w:w="1242"/>
            <w:vAlign w:val="center"/>
          </w:tcPr>
          <w:p>
            <w:r/>
            <w:r>
              <w:rPr>
                <w:b w:val="0"/>
                <w:sz w:val="14"/>
              </w:rPr>
              <w:t>0.49 %</w:t>
            </w:r>
          </w:p>
        </w:tc>
        <w:tc>
          <w:tcPr>
            <w:tcW w:type="dxa" w:w="1242"/>
            <w:vAlign w:val="center"/>
          </w:tcPr>
          <w:p>
            <w:r/>
            <w:r>
              <w:rPr>
                <w:b w:val="0"/>
                <w:sz w:val="14"/>
              </w:rPr>
              <w:t>2.51 %</w:t>
            </w:r>
          </w:p>
        </w:tc>
        <w:tc>
          <w:tcPr>
            <w:tcW w:type="dxa" w:w="1242"/>
            <w:vAlign w:val="center"/>
          </w:tcPr>
          <w:p>
            <w:r/>
            <w:r>
              <w:rPr>
                <w:b w:val="0"/>
                <w:sz w:val="14"/>
              </w:rPr>
              <w:t>34.50 %</w:t>
            </w:r>
          </w:p>
        </w:tc>
        <w:tc>
          <w:tcPr>
            <w:tcW w:type="dxa" w:w="1242"/>
            <w:vAlign w:val="center"/>
          </w:tcPr>
          <w:p>
            <w:r/>
            <w:r>
              <w:rPr>
                <w:b w:val="0"/>
                <w:sz w:val="14"/>
              </w:rPr>
              <w:t>31.01 %</w:t>
            </w:r>
          </w:p>
        </w:tc>
        <w:tc>
          <w:tcPr>
            <w:tcW w:type="dxa" w:w="1242"/>
            <w:vAlign w:val="center"/>
          </w:tcPr>
          <w:p>
            <w:r/>
            <w:r>
              <w:rPr>
                <w:b w:val="0"/>
                <w:sz w:val="14"/>
              </w:rPr>
              <w:t>8.84 %</w:t>
            </w:r>
          </w:p>
        </w:tc>
        <w:tc>
          <w:tcPr>
            <w:tcW w:type="dxa" w:w="1242"/>
            <w:vAlign w:val="center"/>
          </w:tcPr>
          <w:p>
            <w:r/>
            <w:r>
              <w:rPr>
                <w:b w:val="0"/>
                <w:sz w:val="14"/>
              </w:rPr>
              <w:t>0,659</w:t>
            </w:r>
          </w:p>
        </w:tc>
      </w:tr>
      <w:tr>
        <w:tc>
          <w:tcPr>
            <w:tcW w:type="dxa" w:w="1242"/>
            <w:vAlign w:val="center"/>
          </w:tcPr>
          <w:p>
            <w:r/>
            <w:r>
              <w:rPr>
                <w:b w:val="0"/>
                <w:sz w:val="14"/>
              </w:rPr>
              <w:t>Pastrana</w:t>
            </w:r>
          </w:p>
        </w:tc>
        <w:tc>
          <w:tcPr>
            <w:tcW w:type="dxa" w:w="1242"/>
            <w:vAlign w:val="center"/>
          </w:tcPr>
          <w:p>
            <w:r/>
            <w:r>
              <w:rPr>
                <w:b w:val="0"/>
                <w:sz w:val="14"/>
              </w:rPr>
              <w:t>949</w:t>
            </w:r>
          </w:p>
        </w:tc>
        <w:tc>
          <w:tcPr>
            <w:tcW w:type="dxa" w:w="1242"/>
            <w:vAlign w:val="center"/>
          </w:tcPr>
          <w:p>
            <w:r/>
            <w:r>
              <w:rPr>
                <w:b w:val="0"/>
                <w:sz w:val="14"/>
              </w:rPr>
              <w:t>0.21 %</w:t>
            </w:r>
          </w:p>
        </w:tc>
        <w:tc>
          <w:tcPr>
            <w:tcW w:type="dxa" w:w="1242"/>
            <w:vAlign w:val="center"/>
          </w:tcPr>
          <w:p>
            <w:r/>
            <w:r>
              <w:rPr>
                <w:b w:val="0"/>
                <w:sz w:val="14"/>
              </w:rPr>
              <w:t>2.12 %</w:t>
            </w:r>
          </w:p>
        </w:tc>
        <w:tc>
          <w:tcPr>
            <w:tcW w:type="dxa" w:w="1242"/>
            <w:vAlign w:val="center"/>
          </w:tcPr>
          <w:p>
            <w:r/>
            <w:r>
              <w:rPr>
                <w:b w:val="0"/>
                <w:sz w:val="14"/>
              </w:rPr>
              <w:t>26.55 %</w:t>
            </w:r>
          </w:p>
        </w:tc>
        <w:tc>
          <w:tcPr>
            <w:tcW w:type="dxa" w:w="1242"/>
            <w:vAlign w:val="center"/>
          </w:tcPr>
          <w:p>
            <w:r/>
            <w:r>
              <w:rPr>
                <w:b w:val="0"/>
                <w:sz w:val="14"/>
              </w:rPr>
              <w:t>33.61 %</w:t>
            </w:r>
          </w:p>
        </w:tc>
        <w:tc>
          <w:tcPr>
            <w:tcW w:type="dxa" w:w="1242"/>
            <w:vAlign w:val="center"/>
          </w:tcPr>
          <w:p>
            <w:r/>
            <w:r>
              <w:rPr>
                <w:b w:val="0"/>
                <w:sz w:val="14"/>
              </w:rPr>
              <w:t>7.38 %</w:t>
            </w:r>
          </w:p>
        </w:tc>
        <w:tc>
          <w:tcPr>
            <w:tcW w:type="dxa" w:w="1242"/>
            <w:vAlign w:val="center"/>
          </w:tcPr>
          <w:p>
            <w:r/>
            <w:r>
              <w:rPr>
                <w:b w:val="0"/>
                <w:sz w:val="14"/>
              </w:rPr>
              <w:t>0,349</w:t>
            </w:r>
          </w:p>
        </w:tc>
      </w:tr>
      <w:tr>
        <w:tc>
          <w:tcPr>
            <w:tcW w:type="dxa" w:w="1242"/>
            <w:vAlign w:val="center"/>
          </w:tcPr>
          <w:p>
            <w:r/>
            <w:r>
              <w:rPr>
                <w:b w:val="0"/>
                <w:sz w:val="14"/>
              </w:rPr>
              <w:t>Petro</w:t>
            </w:r>
          </w:p>
        </w:tc>
        <w:tc>
          <w:tcPr>
            <w:tcW w:type="dxa" w:w="1242"/>
            <w:vAlign w:val="center"/>
          </w:tcPr>
          <w:p>
            <w:r/>
            <w:r>
              <w:rPr>
                <w:b w:val="0"/>
                <w:sz w:val="14"/>
              </w:rPr>
              <w:t>1.008</w:t>
            </w:r>
          </w:p>
        </w:tc>
        <w:tc>
          <w:tcPr>
            <w:tcW w:type="dxa" w:w="1242"/>
            <w:vAlign w:val="center"/>
          </w:tcPr>
          <w:p>
            <w:r/>
            <w:r>
              <w:rPr>
                <w:b w:val="0"/>
                <w:sz w:val="14"/>
              </w:rPr>
              <w:t>1.28 %</w:t>
            </w:r>
          </w:p>
        </w:tc>
        <w:tc>
          <w:tcPr>
            <w:tcW w:type="dxa" w:w="1242"/>
            <w:vAlign w:val="center"/>
          </w:tcPr>
          <w:p>
            <w:r/>
            <w:r>
              <w:rPr>
                <w:b w:val="0"/>
                <w:sz w:val="14"/>
              </w:rPr>
              <w:t>2.68 %</w:t>
            </w:r>
          </w:p>
        </w:tc>
        <w:tc>
          <w:tcPr>
            <w:tcW w:type="dxa" w:w="1242"/>
            <w:vAlign w:val="center"/>
          </w:tcPr>
          <w:p>
            <w:r/>
            <w:r>
              <w:rPr>
                <w:b w:val="0"/>
                <w:sz w:val="14"/>
              </w:rPr>
              <w:t>43.95 %</w:t>
            </w:r>
          </w:p>
        </w:tc>
        <w:tc>
          <w:tcPr>
            <w:tcW w:type="dxa" w:w="1242"/>
            <w:vAlign w:val="center"/>
          </w:tcPr>
          <w:p>
            <w:r/>
            <w:r>
              <w:rPr>
                <w:b w:val="0"/>
                <w:sz w:val="14"/>
              </w:rPr>
              <w:t>31.05 %</w:t>
            </w:r>
          </w:p>
        </w:tc>
        <w:tc>
          <w:tcPr>
            <w:tcW w:type="dxa" w:w="1242"/>
            <w:vAlign w:val="center"/>
          </w:tcPr>
          <w:p>
            <w:r/>
            <w:r>
              <w:rPr>
                <w:b w:val="0"/>
                <w:sz w:val="14"/>
              </w:rPr>
              <w:t>10.25 %</w:t>
            </w:r>
          </w:p>
        </w:tc>
        <w:tc>
          <w:tcPr>
            <w:tcW w:type="dxa" w:w="1242"/>
            <w:vAlign w:val="center"/>
          </w:tcPr>
          <w:p>
            <w:r/>
            <w:r>
              <w:rPr>
                <w:b w:val="0"/>
                <w:sz w:val="14"/>
              </w:rPr>
              <w:t>1,497</w:t>
            </w:r>
          </w:p>
        </w:tc>
      </w:tr>
      <w:tr>
        <w:tc>
          <w:tcPr>
            <w:tcW w:type="dxa" w:w="1242"/>
            <w:vAlign w:val="center"/>
          </w:tcPr>
          <w:p>
            <w:r/>
            <w:r>
              <w:rPr>
                <w:b w:val="0"/>
                <w:sz w:val="14"/>
              </w:rPr>
              <w:t>Santos I</w:t>
            </w:r>
          </w:p>
        </w:tc>
        <w:tc>
          <w:tcPr>
            <w:tcW w:type="dxa" w:w="1242"/>
            <w:vAlign w:val="center"/>
          </w:tcPr>
          <w:p>
            <w:r/>
            <w:r>
              <w:rPr>
                <w:b w:val="0"/>
                <w:sz w:val="14"/>
              </w:rPr>
              <w:t>1.461</w:t>
            </w:r>
          </w:p>
        </w:tc>
        <w:tc>
          <w:tcPr>
            <w:tcW w:type="dxa" w:w="1242"/>
            <w:vAlign w:val="center"/>
          </w:tcPr>
          <w:p>
            <w:r/>
            <w:r>
              <w:rPr>
                <w:b w:val="0"/>
                <w:sz w:val="14"/>
              </w:rPr>
              <w:t>0.14 %</w:t>
            </w:r>
          </w:p>
        </w:tc>
        <w:tc>
          <w:tcPr>
            <w:tcW w:type="dxa" w:w="1242"/>
            <w:vAlign w:val="center"/>
          </w:tcPr>
          <w:p>
            <w:r/>
            <w:r>
              <w:rPr>
                <w:b w:val="0"/>
                <w:sz w:val="14"/>
              </w:rPr>
              <w:t>3.08 %</w:t>
            </w:r>
          </w:p>
        </w:tc>
        <w:tc>
          <w:tcPr>
            <w:tcW w:type="dxa" w:w="1242"/>
            <w:vAlign w:val="center"/>
          </w:tcPr>
          <w:p>
            <w:r/>
            <w:r>
              <w:rPr>
                <w:b w:val="0"/>
                <w:sz w:val="14"/>
              </w:rPr>
              <w:t>37.37 %</w:t>
            </w:r>
          </w:p>
        </w:tc>
        <w:tc>
          <w:tcPr>
            <w:tcW w:type="dxa" w:w="1242"/>
            <w:vAlign w:val="center"/>
          </w:tcPr>
          <w:p>
            <w:r/>
            <w:r>
              <w:rPr>
                <w:b w:val="0"/>
                <w:sz w:val="14"/>
              </w:rPr>
              <w:t>31.01 %</w:t>
            </w:r>
          </w:p>
        </w:tc>
        <w:tc>
          <w:tcPr>
            <w:tcW w:type="dxa" w:w="1242"/>
            <w:vAlign w:val="center"/>
          </w:tcPr>
          <w:p>
            <w:r/>
            <w:r>
              <w:rPr>
                <w:b w:val="0"/>
                <w:sz w:val="14"/>
              </w:rPr>
              <w:t>10.68 %</w:t>
            </w:r>
          </w:p>
        </w:tc>
        <w:tc>
          <w:tcPr>
            <w:tcW w:type="dxa" w:w="1242"/>
            <w:vAlign w:val="center"/>
          </w:tcPr>
          <w:p>
            <w:r/>
            <w:r>
              <w:rPr>
                <w:b w:val="0"/>
                <w:sz w:val="14"/>
              </w:rPr>
              <w:t>0,152</w:t>
            </w:r>
          </w:p>
        </w:tc>
      </w:tr>
      <w:tr>
        <w:tc>
          <w:tcPr>
            <w:tcW w:type="dxa" w:w="1242"/>
            <w:vAlign w:val="center"/>
          </w:tcPr>
          <w:p>
            <w:r/>
            <w:r>
              <w:rPr>
                <w:b w:val="0"/>
                <w:sz w:val="14"/>
              </w:rPr>
              <w:t>Santos II</w:t>
            </w:r>
          </w:p>
        </w:tc>
        <w:tc>
          <w:tcPr>
            <w:tcW w:type="dxa" w:w="1242"/>
            <w:vAlign w:val="center"/>
          </w:tcPr>
          <w:p>
            <w:r/>
            <w:r>
              <w:rPr>
                <w:b w:val="0"/>
                <w:sz w:val="14"/>
              </w:rPr>
              <w:t>1.461</w:t>
            </w:r>
          </w:p>
        </w:tc>
        <w:tc>
          <w:tcPr>
            <w:tcW w:type="dxa" w:w="1242"/>
            <w:vAlign w:val="center"/>
          </w:tcPr>
          <w:p>
            <w:r/>
            <w:r>
              <w:rPr>
                <w:b w:val="0"/>
                <w:sz w:val="14"/>
              </w:rPr>
              <w:t>-0.08 %</w:t>
            </w:r>
          </w:p>
        </w:tc>
        <w:tc>
          <w:tcPr>
            <w:tcW w:type="dxa" w:w="1242"/>
            <w:vAlign w:val="center"/>
          </w:tcPr>
          <w:p>
            <w:r/>
            <w:r>
              <w:rPr>
                <w:b w:val="0"/>
                <w:sz w:val="14"/>
              </w:rPr>
              <w:t>2.64 %</w:t>
            </w:r>
          </w:p>
        </w:tc>
        <w:tc>
          <w:tcPr>
            <w:tcW w:type="dxa" w:w="1242"/>
            <w:vAlign w:val="center"/>
          </w:tcPr>
          <w:p>
            <w:r/>
            <w:r>
              <w:rPr>
                <w:b w:val="0"/>
                <w:sz w:val="14"/>
              </w:rPr>
              <w:t>31.62 %</w:t>
            </w:r>
          </w:p>
        </w:tc>
        <w:tc>
          <w:tcPr>
            <w:tcW w:type="dxa" w:w="1242"/>
            <w:vAlign w:val="center"/>
          </w:tcPr>
          <w:p>
            <w:r/>
            <w:r>
              <w:rPr>
                <w:b w:val="0"/>
                <w:sz w:val="14"/>
              </w:rPr>
              <w:t>31.01 %</w:t>
            </w:r>
          </w:p>
        </w:tc>
        <w:tc>
          <w:tcPr>
            <w:tcW w:type="dxa" w:w="1242"/>
            <w:vAlign w:val="center"/>
          </w:tcPr>
          <w:p>
            <w:r/>
            <w:r>
              <w:rPr>
                <w:b w:val="0"/>
                <w:sz w:val="14"/>
              </w:rPr>
              <w:t>9.17 %</w:t>
            </w:r>
          </w:p>
        </w:tc>
        <w:tc>
          <w:tcPr>
            <w:tcW w:type="dxa" w:w="1242"/>
            <w:vAlign w:val="center"/>
          </w:tcPr>
          <w:p>
            <w:r/>
            <w:r>
              <w:rPr>
                <w:b w:val="0"/>
                <w:sz w:val="14"/>
              </w:rPr>
              <w:t>-0,107</w:t>
            </w:r>
          </w:p>
        </w:tc>
      </w:tr>
      <w:tr>
        <w:tc>
          <w:tcPr>
            <w:tcW w:type="dxa" w:w="1242"/>
            <w:vAlign w:val="center"/>
          </w:tcPr>
          <w:p>
            <w:r/>
            <w:r>
              <w:rPr>
                <w:b w:val="0"/>
                <w:sz w:val="14"/>
              </w:rPr>
              <w:t>Uribe I</w:t>
            </w:r>
          </w:p>
        </w:tc>
        <w:tc>
          <w:tcPr>
            <w:tcW w:type="dxa" w:w="1242"/>
            <w:vAlign w:val="center"/>
          </w:tcPr>
          <w:p>
            <w:r/>
            <w:r>
              <w:rPr>
                <w:b w:val="0"/>
                <w:sz w:val="14"/>
              </w:rPr>
              <w:t>1.461</w:t>
            </w:r>
          </w:p>
        </w:tc>
        <w:tc>
          <w:tcPr>
            <w:tcW w:type="dxa" w:w="1242"/>
            <w:vAlign w:val="center"/>
          </w:tcPr>
          <w:p>
            <w:r/>
            <w:r>
              <w:rPr>
                <w:b w:val="0"/>
                <w:sz w:val="14"/>
              </w:rPr>
              <w:t>1.01 %</w:t>
            </w:r>
          </w:p>
        </w:tc>
        <w:tc>
          <w:tcPr>
            <w:tcW w:type="dxa" w:w="1242"/>
            <w:vAlign w:val="center"/>
          </w:tcPr>
          <w:p>
            <w:r/>
            <w:r>
              <w:rPr>
                <w:b w:val="0"/>
                <w:sz w:val="14"/>
              </w:rPr>
              <w:t>3.40 %</w:t>
            </w:r>
          </w:p>
        </w:tc>
        <w:tc>
          <w:tcPr>
            <w:tcW w:type="dxa" w:w="1242"/>
            <w:vAlign w:val="center"/>
          </w:tcPr>
          <w:p>
            <w:r/>
            <w:r>
              <w:rPr>
                <w:b w:val="0"/>
                <w:sz w:val="14"/>
              </w:rPr>
              <w:t>47.43 %</w:t>
            </w:r>
          </w:p>
        </w:tc>
        <w:tc>
          <w:tcPr>
            <w:tcW w:type="dxa" w:w="1242"/>
            <w:vAlign w:val="center"/>
          </w:tcPr>
          <w:p>
            <w:r/>
            <w:r>
              <w:rPr>
                <w:b w:val="0"/>
                <w:sz w:val="14"/>
              </w:rPr>
              <w:t>31.01 %</w:t>
            </w:r>
          </w:p>
        </w:tc>
        <w:tc>
          <w:tcPr>
            <w:tcW w:type="dxa" w:w="1242"/>
            <w:vAlign w:val="center"/>
          </w:tcPr>
          <w:p>
            <w:r/>
            <w:r>
              <w:rPr>
                <w:b w:val="0"/>
                <w:sz w:val="14"/>
              </w:rPr>
              <w:t>12.27 %</w:t>
            </w:r>
          </w:p>
        </w:tc>
        <w:tc>
          <w:tcPr>
            <w:tcW w:type="dxa" w:w="1242"/>
            <w:vAlign w:val="center"/>
          </w:tcPr>
          <w:p>
            <w:r/>
            <w:r>
              <w:rPr>
                <w:b w:val="0"/>
                <w:sz w:val="14"/>
              </w:rPr>
              <w:t>0,990</w:t>
            </w:r>
          </w:p>
        </w:tc>
      </w:tr>
      <w:tr>
        <w:tc>
          <w:tcPr>
            <w:tcW w:type="dxa" w:w="1242"/>
            <w:vAlign w:val="center"/>
          </w:tcPr>
          <w:p>
            <w:r/>
            <w:r>
              <w:rPr>
                <w:b w:val="0"/>
                <w:sz w:val="14"/>
              </w:rPr>
              <w:t>Uribe II</w:t>
            </w:r>
          </w:p>
        </w:tc>
        <w:tc>
          <w:tcPr>
            <w:tcW w:type="dxa" w:w="1242"/>
            <w:vAlign w:val="center"/>
          </w:tcPr>
          <w:p>
            <w:r/>
            <w:r>
              <w:rPr>
                <w:b w:val="0"/>
                <w:sz w:val="14"/>
              </w:rPr>
              <w:t>1.461</w:t>
            </w:r>
          </w:p>
        </w:tc>
        <w:tc>
          <w:tcPr>
            <w:tcW w:type="dxa" w:w="1242"/>
            <w:vAlign w:val="center"/>
          </w:tcPr>
          <w:p>
            <w:r/>
            <w:r>
              <w:rPr>
                <w:b w:val="0"/>
                <w:sz w:val="14"/>
              </w:rPr>
              <w:t>0.91 %</w:t>
            </w:r>
          </w:p>
        </w:tc>
        <w:tc>
          <w:tcPr>
            <w:tcW w:type="dxa" w:w="1242"/>
            <w:vAlign w:val="center"/>
          </w:tcPr>
          <w:p>
            <w:r/>
            <w:r>
              <w:rPr>
                <w:b w:val="0"/>
                <w:sz w:val="14"/>
              </w:rPr>
              <w:t>3.71 %</w:t>
            </w:r>
          </w:p>
        </w:tc>
        <w:tc>
          <w:tcPr>
            <w:tcW w:type="dxa" w:w="1242"/>
            <w:vAlign w:val="center"/>
          </w:tcPr>
          <w:p>
            <w:r/>
            <w:r>
              <w:rPr>
                <w:b w:val="0"/>
                <w:sz w:val="14"/>
              </w:rPr>
              <w:t>41.68 %</w:t>
            </w:r>
          </w:p>
        </w:tc>
        <w:tc>
          <w:tcPr>
            <w:tcW w:type="dxa" w:w="1242"/>
            <w:vAlign w:val="center"/>
          </w:tcPr>
          <w:p>
            <w:r/>
            <w:r>
              <w:rPr>
                <w:b w:val="0"/>
                <w:sz w:val="14"/>
              </w:rPr>
              <w:t>31.01 %</w:t>
            </w:r>
          </w:p>
        </w:tc>
        <w:tc>
          <w:tcPr>
            <w:tcW w:type="dxa" w:w="1242"/>
            <w:vAlign w:val="center"/>
          </w:tcPr>
          <w:p>
            <w:r/>
            <w:r>
              <w:rPr>
                <w:b w:val="0"/>
                <w:sz w:val="14"/>
              </w:rPr>
              <w:t>13.22 %</w:t>
            </w:r>
          </w:p>
        </w:tc>
        <w:tc>
          <w:tcPr>
            <w:tcW w:type="dxa" w:w="1242"/>
            <w:vAlign w:val="center"/>
          </w:tcPr>
          <w:p>
            <w:r/>
            <w:r>
              <w:rPr>
                <w:b w:val="0"/>
                <w:sz w:val="14"/>
              </w:rPr>
              <w:t>0,825</w:t>
            </w:r>
          </w:p>
        </w:tc>
      </w:tr>
    </w:tbl>
    <w:p/>
    <w:p>
      <w:pPr>
        <w:jc w:val="center"/>
      </w:pPr>
      <w:r>
        <w:drawing>
          <wp:inline xmlns:a="http://schemas.openxmlformats.org/drawingml/2006/main" xmlns:pic="http://schemas.openxmlformats.org/drawingml/2006/picture">
            <wp:extent cx="5760720" cy="2618509"/>
            <wp:docPr id="11" name="Picture 11"/>
            <wp:cNvGraphicFramePr>
              <a:graphicFrameLocks noChangeAspect="1"/>
            </wp:cNvGraphicFramePr>
            <a:graphic>
              <a:graphicData uri="http://schemas.openxmlformats.org/drawingml/2006/picture">
                <pic:pic>
                  <pic:nvPicPr>
                    <pic:cNvPr id="0" name="stochastic_return_boxplot_by_president.png"/>
                    <pic:cNvPicPr/>
                  </pic:nvPicPr>
                  <pic:blipFill>
                    <a:blip r:embed="rId19"/>
                    <a:stretch>
                      <a:fillRect/>
                    </a:stretch>
                  </pic:blipFill>
                  <pic:spPr>
                    <a:xfrm>
                      <a:off x="0" y="0"/>
                      <a:ext cx="5760720" cy="2618509"/>
                    </a:xfrm>
                    <a:prstGeom prst="rect"/>
                  </pic:spPr>
                </pic:pic>
              </a:graphicData>
            </a:graphic>
          </wp:inline>
        </w:drawing>
      </w:r>
    </w:p>
    <w:p>
      <w:pPr>
        <w:jc w:val="center"/>
      </w:pPr>
      <w:r>
        <w:rPr>
          <w:i/>
          <w:sz w:val="18"/>
        </w:rPr>
        <w:t>Figura 11. Distribucion de retornos h21 por periodo presidencial.</w:t>
      </w:r>
    </w:p>
    <w:p>
      <w:pPr>
        <w:pStyle w:val="Heading2"/>
      </w:pPr>
      <w:r>
        <w:rPr>
          <w:rFonts w:ascii="Aptos Display" w:hAnsi="Aptos Display"/>
          <w:color w:val="2F5496"/>
        </w:rPr>
        <w:t>8.2 Enfermedad holandesa</w:t>
      </w:r>
    </w:p>
    <w:p>
      <w:r>
        <w:t>La enfermedad holandesa se usa como variable contextual y segmentadora. El objetivo no es predecir enfermedad holandesa, sino evaluar si los regimenes y el desempeño del oro cambian con la clasificacion estructural del pais. El analisis segmentado muestra diferencias en retorno medio, proporcion de subidas y volatilidad entre categorias.</w:t>
      </w:r>
    </w:p>
    <w:p>
      <w:pPr>
        <w:jc w:val="center"/>
      </w:pPr>
      <w:r>
        <w:rPr>
          <w:b/>
          <w:sz w:val="20"/>
        </w:rPr>
        <w:t>Tabla 12. Estadisticos del retorno h21 por clasificacion de enfermedad holandesa</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1F4E79"/>
            <w:vAlign w:val="center"/>
          </w:tcPr>
          <w:p>
            <w:r/>
            <w:r>
              <w:rPr>
                <w:b/>
                <w:color w:val="FFFFFF"/>
                <w:sz w:val="14"/>
              </w:rPr>
              <w:t>Clasificacion DD</w:t>
            </w:r>
          </w:p>
        </w:tc>
        <w:tc>
          <w:tcPr>
            <w:tcW w:type="dxa" w:w="1242"/>
            <w:shd w:fill="1F4E79"/>
            <w:vAlign w:val="center"/>
          </w:tcPr>
          <w:p>
            <w:r/>
            <w:r>
              <w:rPr>
                <w:b/>
                <w:color w:val="FFFFFF"/>
                <w:sz w:val="14"/>
              </w:rPr>
              <w:t>n</w:t>
            </w:r>
          </w:p>
        </w:tc>
        <w:tc>
          <w:tcPr>
            <w:tcW w:type="dxa" w:w="1242"/>
            <w:shd w:fill="1F4E79"/>
            <w:vAlign w:val="center"/>
          </w:tcPr>
          <w:p>
            <w:r/>
            <w:r>
              <w:rPr>
                <w:b/>
                <w:color w:val="FFFFFF"/>
                <w:sz w:val="14"/>
              </w:rPr>
              <w:t>Retorno medio h21</w:t>
            </w:r>
          </w:p>
        </w:tc>
        <w:tc>
          <w:tcPr>
            <w:tcW w:type="dxa" w:w="1242"/>
            <w:shd w:fill="1F4E79"/>
            <w:vAlign w:val="center"/>
          </w:tcPr>
          <w:p>
            <w:r/>
            <w:r>
              <w:rPr>
                <w:b/>
                <w:color w:val="FFFFFF"/>
                <w:sz w:val="14"/>
              </w:rPr>
              <w:t>Vol h21</w:t>
            </w:r>
          </w:p>
        </w:tc>
        <w:tc>
          <w:tcPr>
            <w:tcW w:type="dxa" w:w="1242"/>
            <w:shd w:fill="1F4E79"/>
            <w:vAlign w:val="center"/>
          </w:tcPr>
          <w:p>
            <w:r/>
            <w:r>
              <w:rPr>
                <w:b/>
                <w:color w:val="FFFFFF"/>
                <w:sz w:val="14"/>
              </w:rPr>
              <w:t>Share sube h21</w:t>
            </w:r>
          </w:p>
        </w:tc>
        <w:tc>
          <w:tcPr>
            <w:tcW w:type="dxa" w:w="1242"/>
            <w:shd w:fill="1F4E79"/>
            <w:vAlign w:val="center"/>
          </w:tcPr>
          <w:p>
            <w:r/>
            <w:r>
              <w:rPr>
                <w:b/>
                <w:color w:val="FFFFFF"/>
                <w:sz w:val="14"/>
              </w:rPr>
              <w:t>Share cero h21</w:t>
            </w:r>
          </w:p>
        </w:tc>
        <w:tc>
          <w:tcPr>
            <w:tcW w:type="dxa" w:w="1242"/>
            <w:shd w:fill="1F4E79"/>
            <w:vAlign w:val="center"/>
          </w:tcPr>
          <w:p>
            <w:r/>
            <w:r>
              <w:rPr>
                <w:b/>
                <w:color w:val="FFFFFF"/>
                <w:sz w:val="14"/>
              </w:rPr>
              <w:t>Vol diaria anualizada</w:t>
            </w:r>
          </w:p>
        </w:tc>
        <w:tc>
          <w:tcPr>
            <w:tcW w:type="dxa" w:w="1242"/>
            <w:shd w:fill="1F4E79"/>
            <w:vAlign w:val="center"/>
          </w:tcPr>
          <w:p>
            <w:r/>
            <w:r>
              <w:rPr>
                <w:b/>
                <w:color w:val="FFFFFF"/>
                <w:sz w:val="14"/>
              </w:rPr>
              <w:t>Sharpe aprox</w:t>
            </w:r>
          </w:p>
        </w:tc>
      </w:tr>
      <w:tr>
        <w:tc>
          <w:tcPr>
            <w:tcW w:type="dxa" w:w="1242"/>
            <w:vAlign w:val="center"/>
          </w:tcPr>
          <w:p>
            <w:r/>
            <w:r>
              <w:rPr>
                <w:b w:val="0"/>
                <w:sz w:val="14"/>
              </w:rPr>
              <w:t>Indicios parciales</w:t>
            </w:r>
          </w:p>
        </w:tc>
        <w:tc>
          <w:tcPr>
            <w:tcW w:type="dxa" w:w="1242"/>
            <w:vAlign w:val="center"/>
          </w:tcPr>
          <w:p>
            <w:r/>
            <w:r>
              <w:rPr>
                <w:b w:val="0"/>
                <w:sz w:val="14"/>
              </w:rPr>
              <w:t>4.879</w:t>
            </w:r>
          </w:p>
        </w:tc>
        <w:tc>
          <w:tcPr>
            <w:tcW w:type="dxa" w:w="1242"/>
            <w:vAlign w:val="center"/>
          </w:tcPr>
          <w:p>
            <w:r/>
            <w:r>
              <w:rPr>
                <w:b w:val="0"/>
                <w:sz w:val="14"/>
              </w:rPr>
              <w:t>0.53 %</w:t>
            </w:r>
          </w:p>
        </w:tc>
        <w:tc>
          <w:tcPr>
            <w:tcW w:type="dxa" w:w="1242"/>
            <w:vAlign w:val="center"/>
          </w:tcPr>
          <w:p>
            <w:r/>
            <w:r>
              <w:rPr>
                <w:b w:val="0"/>
                <w:sz w:val="14"/>
              </w:rPr>
              <w:t>3.27 %</w:t>
            </w:r>
          </w:p>
        </w:tc>
        <w:tc>
          <w:tcPr>
            <w:tcW w:type="dxa" w:w="1242"/>
            <w:vAlign w:val="center"/>
          </w:tcPr>
          <w:p>
            <w:r/>
            <w:r>
              <w:rPr>
                <w:b w:val="0"/>
                <w:sz w:val="14"/>
              </w:rPr>
              <w:t>36.63 %</w:t>
            </w:r>
          </w:p>
        </w:tc>
        <w:tc>
          <w:tcPr>
            <w:tcW w:type="dxa" w:w="1242"/>
            <w:vAlign w:val="center"/>
          </w:tcPr>
          <w:p>
            <w:r/>
            <w:r>
              <w:rPr>
                <w:b w:val="0"/>
                <w:sz w:val="14"/>
              </w:rPr>
              <w:t>31.09 %</w:t>
            </w:r>
          </w:p>
        </w:tc>
        <w:tc>
          <w:tcPr>
            <w:tcW w:type="dxa" w:w="1242"/>
            <w:vAlign w:val="center"/>
          </w:tcPr>
          <w:p>
            <w:r/>
            <w:r>
              <w:rPr>
                <w:b w:val="0"/>
                <w:sz w:val="14"/>
              </w:rPr>
              <w:t>11.47 %</w:t>
            </w:r>
          </w:p>
        </w:tc>
        <w:tc>
          <w:tcPr>
            <w:tcW w:type="dxa" w:w="1242"/>
            <w:vAlign w:val="center"/>
          </w:tcPr>
          <w:p>
            <w:r/>
            <w:r>
              <w:rPr>
                <w:b w:val="0"/>
                <w:sz w:val="14"/>
              </w:rPr>
              <w:t>0,553</w:t>
            </w:r>
          </w:p>
        </w:tc>
      </w:tr>
      <w:tr>
        <w:tc>
          <w:tcPr>
            <w:tcW w:type="dxa" w:w="1242"/>
            <w:vAlign w:val="center"/>
          </w:tcPr>
          <w:p>
            <w:r/>
            <w:r>
              <w:rPr>
                <w:b w:val="0"/>
                <w:sz w:val="14"/>
              </w:rPr>
              <w:t>Probable enfermedad holandesa</w:t>
            </w:r>
          </w:p>
        </w:tc>
        <w:tc>
          <w:tcPr>
            <w:tcW w:type="dxa" w:w="1242"/>
            <w:vAlign w:val="center"/>
          </w:tcPr>
          <w:p>
            <w:r/>
            <w:r>
              <w:rPr>
                <w:b w:val="0"/>
                <w:sz w:val="14"/>
              </w:rPr>
              <w:t>365</w:t>
            </w:r>
          </w:p>
        </w:tc>
        <w:tc>
          <w:tcPr>
            <w:tcW w:type="dxa" w:w="1242"/>
            <w:vAlign w:val="center"/>
          </w:tcPr>
          <w:p>
            <w:r/>
            <w:r>
              <w:rPr>
                <w:b w:val="0"/>
                <w:sz w:val="14"/>
              </w:rPr>
              <w:t>0.99 %</w:t>
            </w:r>
          </w:p>
        </w:tc>
        <w:tc>
          <w:tcPr>
            <w:tcW w:type="dxa" w:w="1242"/>
            <w:vAlign w:val="center"/>
          </w:tcPr>
          <w:p>
            <w:r/>
            <w:r>
              <w:rPr>
                <w:b w:val="0"/>
                <w:sz w:val="14"/>
              </w:rPr>
              <w:t>3.70 %</w:t>
            </w:r>
          </w:p>
        </w:tc>
        <w:tc>
          <w:tcPr>
            <w:tcW w:type="dxa" w:w="1242"/>
            <w:vAlign w:val="center"/>
          </w:tcPr>
          <w:p>
            <w:r/>
            <w:r>
              <w:rPr>
                <w:b w:val="0"/>
                <w:sz w:val="14"/>
              </w:rPr>
              <w:t>51.78 %</w:t>
            </w:r>
          </w:p>
        </w:tc>
        <w:tc>
          <w:tcPr>
            <w:tcW w:type="dxa" w:w="1242"/>
            <w:vAlign w:val="center"/>
          </w:tcPr>
          <w:p>
            <w:r/>
            <w:r>
              <w:rPr>
                <w:b w:val="0"/>
                <w:sz w:val="14"/>
              </w:rPr>
              <w:t>30.96 %</w:t>
            </w:r>
          </w:p>
        </w:tc>
        <w:tc>
          <w:tcPr>
            <w:tcW w:type="dxa" w:w="1242"/>
            <w:vAlign w:val="center"/>
          </w:tcPr>
          <w:p>
            <w:r/>
            <w:r>
              <w:rPr>
                <w:b w:val="0"/>
                <w:sz w:val="14"/>
              </w:rPr>
              <w:t>13.24 %</w:t>
            </w:r>
          </w:p>
        </w:tc>
        <w:tc>
          <w:tcPr>
            <w:tcW w:type="dxa" w:w="1242"/>
            <w:vAlign w:val="center"/>
          </w:tcPr>
          <w:p>
            <w:r/>
            <w:r>
              <w:rPr>
                <w:b w:val="0"/>
                <w:sz w:val="14"/>
              </w:rPr>
              <w:t>0,900</w:t>
            </w:r>
          </w:p>
        </w:tc>
      </w:tr>
      <w:tr>
        <w:tc>
          <w:tcPr>
            <w:tcW w:type="dxa" w:w="1242"/>
            <w:vAlign w:val="center"/>
          </w:tcPr>
          <w:p>
            <w:r/>
            <w:r>
              <w:rPr>
                <w:b w:val="0"/>
                <w:sz w:val="14"/>
              </w:rPr>
              <w:t>Sin clasificación</w:t>
            </w:r>
          </w:p>
        </w:tc>
        <w:tc>
          <w:tcPr>
            <w:tcW w:type="dxa" w:w="1242"/>
            <w:vAlign w:val="center"/>
          </w:tcPr>
          <w:p>
            <w:r/>
            <w:r>
              <w:rPr>
                <w:b w:val="0"/>
                <w:sz w:val="14"/>
              </w:rPr>
              <w:t>366</w:t>
            </w:r>
          </w:p>
        </w:tc>
        <w:tc>
          <w:tcPr>
            <w:tcW w:type="dxa" w:w="1242"/>
            <w:vAlign w:val="center"/>
          </w:tcPr>
          <w:p>
            <w:r/>
            <w:r>
              <w:rPr>
                <w:b w:val="0"/>
                <w:sz w:val="14"/>
              </w:rPr>
              <w:t>-0.27 %</w:t>
            </w:r>
          </w:p>
        </w:tc>
        <w:tc>
          <w:tcPr>
            <w:tcW w:type="dxa" w:w="1242"/>
            <w:vAlign w:val="center"/>
          </w:tcPr>
          <w:p>
            <w:r/>
            <w:r>
              <w:rPr>
                <w:b w:val="0"/>
                <w:sz w:val="14"/>
              </w:rPr>
              <w:t>2.24 %</w:t>
            </w:r>
          </w:p>
        </w:tc>
        <w:tc>
          <w:tcPr>
            <w:tcW w:type="dxa" w:w="1242"/>
            <w:vAlign w:val="center"/>
          </w:tcPr>
          <w:p>
            <w:r/>
            <w:r>
              <w:rPr>
                <w:b w:val="0"/>
                <w:sz w:val="14"/>
              </w:rPr>
              <w:t>17.21 %</w:t>
            </w:r>
          </w:p>
        </w:tc>
        <w:tc>
          <w:tcPr>
            <w:tcW w:type="dxa" w:w="1242"/>
            <w:vAlign w:val="center"/>
          </w:tcPr>
          <w:p>
            <w:r/>
            <w:r>
              <w:rPr>
                <w:b w:val="0"/>
                <w:sz w:val="14"/>
              </w:rPr>
              <w:t>36.89 %</w:t>
            </w:r>
          </w:p>
        </w:tc>
        <w:tc>
          <w:tcPr>
            <w:tcW w:type="dxa" w:w="1242"/>
            <w:vAlign w:val="center"/>
          </w:tcPr>
          <w:p>
            <w:r/>
            <w:r>
              <w:rPr>
                <w:b w:val="0"/>
                <w:sz w:val="14"/>
              </w:rPr>
              <w:t>7.83 %</w:t>
            </w:r>
          </w:p>
        </w:tc>
        <w:tc>
          <w:tcPr>
            <w:tcW w:type="dxa" w:w="1242"/>
            <w:vAlign w:val="center"/>
          </w:tcPr>
          <w:p>
            <w:r/>
            <w:r>
              <w:rPr>
                <w:b w:val="0"/>
                <w:sz w:val="14"/>
              </w:rPr>
              <w:t>-0,408</w:t>
            </w:r>
          </w:p>
        </w:tc>
      </w:tr>
      <w:tr>
        <w:tc>
          <w:tcPr>
            <w:tcW w:type="dxa" w:w="1242"/>
            <w:vAlign w:val="center"/>
          </w:tcPr>
          <w:p>
            <w:r/>
            <w:r>
              <w:rPr>
                <w:b w:val="0"/>
                <w:sz w:val="14"/>
              </w:rPr>
              <w:t>Sin evidencia suficiente</w:t>
            </w:r>
          </w:p>
        </w:tc>
        <w:tc>
          <w:tcPr>
            <w:tcW w:type="dxa" w:w="1242"/>
            <w:vAlign w:val="center"/>
          </w:tcPr>
          <w:p>
            <w:r/>
            <w:r>
              <w:rPr>
                <w:b w:val="0"/>
                <w:sz w:val="14"/>
              </w:rPr>
              <w:t>3.652</w:t>
            </w:r>
          </w:p>
        </w:tc>
        <w:tc>
          <w:tcPr>
            <w:tcW w:type="dxa" w:w="1242"/>
            <w:vAlign w:val="center"/>
          </w:tcPr>
          <w:p>
            <w:r/>
            <w:r>
              <w:rPr>
                <w:b w:val="0"/>
                <w:sz w:val="14"/>
              </w:rPr>
              <w:t>0.61 %</w:t>
            </w:r>
          </w:p>
        </w:tc>
        <w:tc>
          <w:tcPr>
            <w:tcW w:type="dxa" w:w="1242"/>
            <w:vAlign w:val="center"/>
          </w:tcPr>
          <w:p>
            <w:r/>
            <w:r>
              <w:rPr>
                <w:b w:val="0"/>
                <w:sz w:val="14"/>
              </w:rPr>
              <w:t>2.58 %</w:t>
            </w:r>
          </w:p>
        </w:tc>
        <w:tc>
          <w:tcPr>
            <w:tcW w:type="dxa" w:w="1242"/>
            <w:vAlign w:val="center"/>
          </w:tcPr>
          <w:p>
            <w:r/>
            <w:r>
              <w:rPr>
                <w:b w:val="0"/>
                <w:sz w:val="14"/>
              </w:rPr>
              <w:t>40.25 %</w:t>
            </w:r>
          </w:p>
        </w:tc>
        <w:tc>
          <w:tcPr>
            <w:tcW w:type="dxa" w:w="1242"/>
            <w:vAlign w:val="center"/>
          </w:tcPr>
          <w:p>
            <w:r/>
            <w:r>
              <w:rPr>
                <w:b w:val="0"/>
                <w:sz w:val="14"/>
              </w:rPr>
              <w:t>31.00 %</w:t>
            </w:r>
          </w:p>
        </w:tc>
        <w:tc>
          <w:tcPr>
            <w:tcW w:type="dxa" w:w="1242"/>
            <w:vAlign w:val="center"/>
          </w:tcPr>
          <w:p>
            <w:r/>
            <w:r>
              <w:rPr>
                <w:b w:val="0"/>
                <w:sz w:val="14"/>
              </w:rPr>
              <w:t>9.19 %</w:t>
            </w:r>
          </w:p>
        </w:tc>
        <w:tc>
          <w:tcPr>
            <w:tcW w:type="dxa" w:w="1242"/>
            <w:vAlign w:val="center"/>
          </w:tcPr>
          <w:p>
            <w:r/>
            <w:r>
              <w:rPr>
                <w:b w:val="0"/>
                <w:sz w:val="14"/>
              </w:rPr>
              <w:t>0,802</w:t>
            </w:r>
          </w:p>
        </w:tc>
      </w:tr>
    </w:tbl>
    <w:p/>
    <w:p>
      <w:pPr>
        <w:pStyle w:val="Heading2"/>
      </w:pPr>
      <w:r>
        <w:rPr>
          <w:rFonts w:ascii="Aptos Display" w:hAnsi="Aptos Display"/>
          <w:color w:val="2F5496"/>
        </w:rPr>
        <w:t>8.3 Clusters y regimenes</w:t>
      </w:r>
    </w:p>
    <w:p>
      <w:r>
        <w:t>Los clusters no son decorativos: permiten saber donde el modelo encuentra mas estructura predictiva. En algunos clusters la balanced accuracy es muy alta, mientras que en otros la señal es mas debil. Esta heterogeneidad justifica mantener la capa de regimenes como parte central del proyecto y no solo como visualizacion.</w:t>
      </w:r>
    </w:p>
    <w:p>
      <w:pPr>
        <w:jc w:val="center"/>
      </w:pPr>
      <w:r>
        <w:rPr>
          <w:b/>
          <w:sz w:val="20"/>
        </w:rPr>
        <w:t>Tabla 13. Segmentos con mejor desempeno del modelo</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fill="1F4E79"/>
            <w:vAlign w:val="center"/>
          </w:tcPr>
          <w:p>
            <w:r/>
            <w:r>
              <w:rPr>
                <w:b/>
                <w:color w:val="FFFFFF"/>
                <w:sz w:val="14"/>
              </w:rPr>
              <w:t>Segmento</w:t>
            </w:r>
          </w:p>
        </w:tc>
        <w:tc>
          <w:tcPr>
            <w:tcW w:type="dxa" w:w="1104"/>
            <w:shd w:fill="1F4E79"/>
            <w:vAlign w:val="center"/>
          </w:tcPr>
          <w:p>
            <w:r/>
            <w:r>
              <w:rPr>
                <w:b/>
                <w:color w:val="FFFFFF"/>
                <w:sz w:val="14"/>
              </w:rPr>
              <w:t>Valor</w:t>
            </w:r>
          </w:p>
        </w:tc>
        <w:tc>
          <w:tcPr>
            <w:tcW w:type="dxa" w:w="1104"/>
            <w:shd w:fill="1F4E79"/>
            <w:vAlign w:val="center"/>
          </w:tcPr>
          <w:p>
            <w:r/>
            <w:r>
              <w:rPr>
                <w:b/>
                <w:color w:val="FFFFFF"/>
                <w:sz w:val="14"/>
              </w:rPr>
              <w:t>n</w:t>
            </w:r>
          </w:p>
        </w:tc>
        <w:tc>
          <w:tcPr>
            <w:tcW w:type="dxa" w:w="1104"/>
            <w:shd w:fill="1F4E79"/>
            <w:vAlign w:val="center"/>
          </w:tcPr>
          <w:p>
            <w:r/>
            <w:r>
              <w:rPr>
                <w:b/>
                <w:color w:val="FFFFFF"/>
                <w:sz w:val="14"/>
              </w:rPr>
              <w:t>Share sube</w:t>
            </w:r>
          </w:p>
        </w:tc>
        <w:tc>
          <w:tcPr>
            <w:tcW w:type="dxa" w:w="1104"/>
            <w:shd w:fill="1F4E79"/>
            <w:vAlign w:val="center"/>
          </w:tcPr>
          <w:p>
            <w:r/>
            <w:r>
              <w:rPr>
                <w:b/>
                <w:color w:val="FFFFFF"/>
                <w:sz w:val="14"/>
              </w:rPr>
              <w:t>Accuracy</w:t>
            </w:r>
          </w:p>
        </w:tc>
        <w:tc>
          <w:tcPr>
            <w:tcW w:type="dxa" w:w="1104"/>
            <w:shd w:fill="1F4E79"/>
            <w:vAlign w:val="center"/>
          </w:tcPr>
          <w:p>
            <w:r/>
            <w:r>
              <w:rPr>
                <w:b/>
                <w:color w:val="FFFFFF"/>
                <w:sz w:val="14"/>
              </w:rPr>
              <w:t>BACC</w:t>
            </w:r>
          </w:p>
        </w:tc>
        <w:tc>
          <w:tcPr>
            <w:tcW w:type="dxa" w:w="1104"/>
            <w:shd w:fill="1F4E79"/>
            <w:vAlign w:val="center"/>
          </w:tcPr>
          <w:p>
            <w:r/>
            <w:r>
              <w:rPr>
                <w:b/>
                <w:color w:val="FFFFFF"/>
                <w:sz w:val="14"/>
              </w:rPr>
              <w:t>Recall sube</w:t>
            </w:r>
          </w:p>
        </w:tc>
        <w:tc>
          <w:tcPr>
            <w:tcW w:type="dxa" w:w="1104"/>
            <w:shd w:fill="1F4E79"/>
            <w:vAlign w:val="center"/>
          </w:tcPr>
          <w:p>
            <w:r/>
            <w:r>
              <w:rPr>
                <w:b/>
                <w:color w:val="FFFFFF"/>
                <w:sz w:val="14"/>
              </w:rPr>
              <w:t>Recall no sube</w:t>
            </w:r>
          </w:p>
        </w:tc>
        <w:tc>
          <w:tcPr>
            <w:tcW w:type="dxa" w:w="1104"/>
            <w:shd w:fill="1F4E79"/>
            <w:vAlign w:val="center"/>
          </w:tcPr>
          <w:p>
            <w:r/>
            <w:r>
              <w:rPr>
                <w:b/>
                <w:color w:val="FFFFFF"/>
                <w:sz w:val="14"/>
              </w:rPr>
              <w:t>AUC</w:t>
            </w:r>
          </w:p>
        </w:tc>
      </w:tr>
      <w:tr>
        <w:tc>
          <w:tcPr>
            <w:tcW w:type="dxa" w:w="1104"/>
            <w:vAlign w:val="center"/>
          </w:tcPr>
          <w:p>
            <w:r/>
            <w:r>
              <w:rPr>
                <w:b w:val="0"/>
                <w:sz w:val="14"/>
              </w:rPr>
              <w:t>cluster_abs</w:t>
            </w:r>
          </w:p>
        </w:tc>
        <w:tc>
          <w:tcPr>
            <w:tcW w:type="dxa" w:w="1104"/>
            <w:vAlign w:val="center"/>
          </w:tcPr>
          <w:p>
            <w:r/>
            <w:r>
              <w:rPr>
                <w:b w:val="0"/>
                <w:sz w:val="14"/>
              </w:rPr>
              <w:t>5</w:t>
            </w:r>
          </w:p>
        </w:tc>
        <w:tc>
          <w:tcPr>
            <w:tcW w:type="dxa" w:w="1104"/>
            <w:vAlign w:val="center"/>
          </w:tcPr>
          <w:p>
            <w:r/>
            <w:r>
              <w:rPr>
                <w:b w:val="0"/>
                <w:sz w:val="14"/>
              </w:rPr>
              <w:t>92</w:t>
            </w:r>
          </w:p>
        </w:tc>
        <w:tc>
          <w:tcPr>
            <w:tcW w:type="dxa" w:w="1104"/>
            <w:vAlign w:val="center"/>
          </w:tcPr>
          <w:p>
            <w:r/>
            <w:r>
              <w:rPr>
                <w:b w:val="0"/>
                <w:sz w:val="14"/>
              </w:rPr>
              <w:t>22.83 %</w:t>
            </w:r>
          </w:p>
        </w:tc>
        <w:tc>
          <w:tcPr>
            <w:tcW w:type="dxa" w:w="1104"/>
            <w:vAlign w:val="center"/>
          </w:tcPr>
          <w:p>
            <w:r/>
            <w:r>
              <w:rPr>
                <w:b w:val="0"/>
                <w:sz w:val="14"/>
              </w:rPr>
              <w:t>98.91 %</w:t>
            </w:r>
          </w:p>
        </w:tc>
        <w:tc>
          <w:tcPr>
            <w:tcW w:type="dxa" w:w="1104"/>
            <w:vAlign w:val="center"/>
          </w:tcPr>
          <w:p>
            <w:r/>
            <w:r>
              <w:rPr>
                <w:b w:val="0"/>
                <w:sz w:val="14"/>
              </w:rPr>
              <w:t>99.30 %</w:t>
            </w:r>
          </w:p>
        </w:tc>
        <w:tc>
          <w:tcPr>
            <w:tcW w:type="dxa" w:w="1104"/>
            <w:vAlign w:val="center"/>
          </w:tcPr>
          <w:p>
            <w:r/>
            <w:r>
              <w:rPr>
                <w:b w:val="0"/>
                <w:sz w:val="14"/>
              </w:rPr>
              <w:t>100.00 %</w:t>
            </w:r>
          </w:p>
        </w:tc>
        <w:tc>
          <w:tcPr>
            <w:tcW w:type="dxa" w:w="1104"/>
            <w:vAlign w:val="center"/>
          </w:tcPr>
          <w:p>
            <w:r/>
            <w:r>
              <w:rPr>
                <w:b w:val="0"/>
                <w:sz w:val="14"/>
              </w:rPr>
              <w:t>98.59 %</w:t>
            </w:r>
          </w:p>
        </w:tc>
        <w:tc>
          <w:tcPr>
            <w:tcW w:type="dxa" w:w="1104"/>
            <w:vAlign w:val="center"/>
          </w:tcPr>
          <w:p>
            <w:r/>
            <w:r>
              <w:rPr>
                <w:b w:val="0"/>
                <w:sz w:val="14"/>
              </w:rPr>
              <w:t>100.00 %</w:t>
            </w:r>
          </w:p>
        </w:tc>
      </w:tr>
      <w:tr>
        <w:tc>
          <w:tcPr>
            <w:tcW w:type="dxa" w:w="1104"/>
            <w:vAlign w:val="center"/>
          </w:tcPr>
          <w:p>
            <w:r/>
            <w:r>
              <w:rPr>
                <w:b w:val="0"/>
                <w:sz w:val="14"/>
              </w:rPr>
              <w:t>year</w:t>
            </w:r>
          </w:p>
        </w:tc>
        <w:tc>
          <w:tcPr>
            <w:tcW w:type="dxa" w:w="1104"/>
            <w:vAlign w:val="center"/>
          </w:tcPr>
          <w:p>
            <w:r/>
            <w:r>
              <w:rPr>
                <w:b w:val="0"/>
                <w:sz w:val="14"/>
              </w:rPr>
              <w:t>2024</w:t>
            </w:r>
          </w:p>
        </w:tc>
        <w:tc>
          <w:tcPr>
            <w:tcW w:type="dxa" w:w="1104"/>
            <w:vAlign w:val="center"/>
          </w:tcPr>
          <w:p>
            <w:r/>
            <w:r>
              <w:rPr>
                <w:b w:val="0"/>
                <w:sz w:val="14"/>
              </w:rPr>
              <w:t>366</w:t>
            </w:r>
          </w:p>
        </w:tc>
        <w:tc>
          <w:tcPr>
            <w:tcW w:type="dxa" w:w="1104"/>
            <w:vAlign w:val="center"/>
          </w:tcPr>
          <w:p>
            <w:r/>
            <w:r>
              <w:rPr>
                <w:b w:val="0"/>
                <w:sz w:val="14"/>
              </w:rPr>
              <w:t>45.90 %</w:t>
            </w:r>
          </w:p>
        </w:tc>
        <w:tc>
          <w:tcPr>
            <w:tcW w:type="dxa" w:w="1104"/>
            <w:vAlign w:val="center"/>
          </w:tcPr>
          <w:p>
            <w:r/>
            <w:r>
              <w:rPr>
                <w:b w:val="0"/>
                <w:sz w:val="14"/>
              </w:rPr>
              <w:t>93.99 %</w:t>
            </w:r>
          </w:p>
        </w:tc>
        <w:tc>
          <w:tcPr>
            <w:tcW w:type="dxa" w:w="1104"/>
            <w:vAlign w:val="center"/>
          </w:tcPr>
          <w:p>
            <w:r/>
            <w:r>
              <w:rPr>
                <w:b w:val="0"/>
                <w:sz w:val="14"/>
              </w:rPr>
              <w:t>94.13 %</w:t>
            </w:r>
          </w:p>
        </w:tc>
        <w:tc>
          <w:tcPr>
            <w:tcW w:type="dxa" w:w="1104"/>
            <w:vAlign w:val="center"/>
          </w:tcPr>
          <w:p>
            <w:r/>
            <w:r>
              <w:rPr>
                <w:b w:val="0"/>
                <w:sz w:val="14"/>
              </w:rPr>
              <w:t>95.83 %</w:t>
            </w:r>
          </w:p>
        </w:tc>
        <w:tc>
          <w:tcPr>
            <w:tcW w:type="dxa" w:w="1104"/>
            <w:vAlign w:val="center"/>
          </w:tcPr>
          <w:p>
            <w:r/>
            <w:r>
              <w:rPr>
                <w:b w:val="0"/>
                <w:sz w:val="14"/>
              </w:rPr>
              <w:t>92.42 %</w:t>
            </w:r>
          </w:p>
        </w:tc>
        <w:tc>
          <w:tcPr>
            <w:tcW w:type="dxa" w:w="1104"/>
            <w:vAlign w:val="center"/>
          </w:tcPr>
          <w:p>
            <w:r/>
            <w:r>
              <w:rPr>
                <w:b w:val="0"/>
                <w:sz w:val="14"/>
              </w:rPr>
              <w:t>99.29 %</w:t>
            </w:r>
          </w:p>
        </w:tc>
      </w:tr>
      <w:tr>
        <w:tc>
          <w:tcPr>
            <w:tcW w:type="dxa" w:w="1104"/>
            <w:vAlign w:val="center"/>
          </w:tcPr>
          <w:p>
            <w:r/>
            <w:r>
              <w:rPr>
                <w:b w:val="0"/>
                <w:sz w:val="14"/>
              </w:rPr>
              <w:t>year</w:t>
            </w:r>
          </w:p>
        </w:tc>
        <w:tc>
          <w:tcPr>
            <w:tcW w:type="dxa" w:w="1104"/>
            <w:vAlign w:val="center"/>
          </w:tcPr>
          <w:p>
            <w:r/>
            <w:r>
              <w:rPr>
                <w:b w:val="0"/>
                <w:sz w:val="14"/>
              </w:rPr>
              <w:t>2025</w:t>
            </w:r>
          </w:p>
        </w:tc>
        <w:tc>
          <w:tcPr>
            <w:tcW w:type="dxa" w:w="1104"/>
            <w:vAlign w:val="center"/>
          </w:tcPr>
          <w:p>
            <w:r/>
            <w:r>
              <w:rPr>
                <w:b w:val="0"/>
                <w:sz w:val="14"/>
              </w:rPr>
              <w:t>120</w:t>
            </w:r>
          </w:p>
        </w:tc>
        <w:tc>
          <w:tcPr>
            <w:tcW w:type="dxa" w:w="1104"/>
            <w:vAlign w:val="center"/>
          </w:tcPr>
          <w:p>
            <w:r/>
            <w:r>
              <w:rPr>
                <w:b w:val="0"/>
                <w:sz w:val="14"/>
              </w:rPr>
              <w:t>70.00 %</w:t>
            </w:r>
          </w:p>
        </w:tc>
        <w:tc>
          <w:tcPr>
            <w:tcW w:type="dxa" w:w="1104"/>
            <w:vAlign w:val="center"/>
          </w:tcPr>
          <w:p>
            <w:r/>
            <w:r>
              <w:rPr>
                <w:b w:val="0"/>
                <w:sz w:val="14"/>
              </w:rPr>
              <w:t>91.67 %</w:t>
            </w:r>
          </w:p>
        </w:tc>
        <w:tc>
          <w:tcPr>
            <w:tcW w:type="dxa" w:w="1104"/>
            <w:vAlign w:val="center"/>
          </w:tcPr>
          <w:p>
            <w:r/>
            <w:r>
              <w:rPr>
                <w:b w:val="0"/>
                <w:sz w:val="14"/>
              </w:rPr>
              <w:t>94.05 %</w:t>
            </w:r>
          </w:p>
        </w:tc>
        <w:tc>
          <w:tcPr>
            <w:tcW w:type="dxa" w:w="1104"/>
            <w:vAlign w:val="center"/>
          </w:tcPr>
          <w:p>
            <w:r/>
            <w:r>
              <w:rPr>
                <w:b w:val="0"/>
                <w:sz w:val="14"/>
              </w:rPr>
              <w:t>88.10 %</w:t>
            </w:r>
          </w:p>
        </w:tc>
        <w:tc>
          <w:tcPr>
            <w:tcW w:type="dxa" w:w="1104"/>
            <w:vAlign w:val="center"/>
          </w:tcPr>
          <w:p>
            <w:r/>
            <w:r>
              <w:rPr>
                <w:b w:val="0"/>
                <w:sz w:val="14"/>
              </w:rPr>
              <w:t>100.00 %</w:t>
            </w:r>
          </w:p>
        </w:tc>
        <w:tc>
          <w:tcPr>
            <w:tcW w:type="dxa" w:w="1104"/>
            <w:vAlign w:val="center"/>
          </w:tcPr>
          <w:p>
            <w:r/>
            <w:r>
              <w:rPr>
                <w:b w:val="0"/>
                <w:sz w:val="14"/>
              </w:rPr>
              <w:t>99.21 %</w:t>
            </w:r>
          </w:p>
        </w:tc>
      </w:tr>
      <w:tr>
        <w:tc>
          <w:tcPr>
            <w:tcW w:type="dxa" w:w="1104"/>
            <w:vAlign w:val="center"/>
          </w:tcPr>
          <w:p>
            <w:r/>
            <w:r>
              <w:rPr>
                <w:b w:val="0"/>
                <w:sz w:val="14"/>
              </w:rPr>
              <w:t>year</w:t>
            </w:r>
          </w:p>
        </w:tc>
        <w:tc>
          <w:tcPr>
            <w:tcW w:type="dxa" w:w="1104"/>
            <w:vAlign w:val="center"/>
          </w:tcPr>
          <w:p>
            <w:r/>
            <w:r>
              <w:rPr>
                <w:b w:val="0"/>
                <w:sz w:val="14"/>
              </w:rPr>
              <w:t>2022</w:t>
            </w:r>
          </w:p>
        </w:tc>
        <w:tc>
          <w:tcPr>
            <w:tcW w:type="dxa" w:w="1104"/>
            <w:vAlign w:val="center"/>
          </w:tcPr>
          <w:p>
            <w:r/>
            <w:r>
              <w:rPr>
                <w:b w:val="0"/>
                <w:sz w:val="14"/>
              </w:rPr>
              <w:t>365</w:t>
            </w:r>
          </w:p>
        </w:tc>
        <w:tc>
          <w:tcPr>
            <w:tcW w:type="dxa" w:w="1104"/>
            <w:vAlign w:val="center"/>
          </w:tcPr>
          <w:p>
            <w:r/>
            <w:r>
              <w:rPr>
                <w:b w:val="0"/>
                <w:sz w:val="14"/>
              </w:rPr>
              <w:t>34.52 %</w:t>
            </w:r>
          </w:p>
        </w:tc>
        <w:tc>
          <w:tcPr>
            <w:tcW w:type="dxa" w:w="1104"/>
            <w:vAlign w:val="center"/>
          </w:tcPr>
          <w:p>
            <w:r/>
            <w:r>
              <w:rPr>
                <w:b w:val="0"/>
                <w:sz w:val="14"/>
              </w:rPr>
              <w:t>93.42 %</w:t>
            </w:r>
          </w:p>
        </w:tc>
        <w:tc>
          <w:tcPr>
            <w:tcW w:type="dxa" w:w="1104"/>
            <w:vAlign w:val="center"/>
          </w:tcPr>
          <w:p>
            <w:r/>
            <w:r>
              <w:rPr>
                <w:b w:val="0"/>
                <w:sz w:val="14"/>
              </w:rPr>
              <w:t>94.04 %</w:t>
            </w:r>
          </w:p>
        </w:tc>
        <w:tc>
          <w:tcPr>
            <w:tcW w:type="dxa" w:w="1104"/>
            <w:vAlign w:val="center"/>
          </w:tcPr>
          <w:p>
            <w:r/>
            <w:r>
              <w:rPr>
                <w:b w:val="0"/>
                <w:sz w:val="14"/>
              </w:rPr>
              <w:t>96.03 %</w:t>
            </w:r>
          </w:p>
        </w:tc>
        <w:tc>
          <w:tcPr>
            <w:tcW w:type="dxa" w:w="1104"/>
            <w:vAlign w:val="center"/>
          </w:tcPr>
          <w:p>
            <w:r/>
            <w:r>
              <w:rPr>
                <w:b w:val="0"/>
                <w:sz w:val="14"/>
              </w:rPr>
              <w:t>92.05 %</w:t>
            </w:r>
          </w:p>
        </w:tc>
        <w:tc>
          <w:tcPr>
            <w:tcW w:type="dxa" w:w="1104"/>
            <w:vAlign w:val="center"/>
          </w:tcPr>
          <w:p>
            <w:r/>
            <w:r>
              <w:rPr>
                <w:b w:val="0"/>
                <w:sz w:val="14"/>
              </w:rPr>
              <w:t>98.62 %</w:t>
            </w:r>
          </w:p>
        </w:tc>
      </w:tr>
      <w:tr>
        <w:tc>
          <w:tcPr>
            <w:tcW w:type="dxa" w:w="1104"/>
            <w:vAlign w:val="center"/>
          </w:tcPr>
          <w:p>
            <w:r/>
            <w:r>
              <w:rPr>
                <w:b w:val="0"/>
                <w:sz w:val="14"/>
              </w:rPr>
              <w:t>cluster_chg</w:t>
            </w:r>
          </w:p>
        </w:tc>
        <w:tc>
          <w:tcPr>
            <w:tcW w:type="dxa" w:w="1104"/>
            <w:vAlign w:val="center"/>
          </w:tcPr>
          <w:p>
            <w:r/>
            <w:r>
              <w:rPr>
                <w:b w:val="0"/>
                <w:sz w:val="14"/>
              </w:rPr>
              <w:t>2</w:t>
            </w:r>
          </w:p>
        </w:tc>
        <w:tc>
          <w:tcPr>
            <w:tcW w:type="dxa" w:w="1104"/>
            <w:vAlign w:val="center"/>
          </w:tcPr>
          <w:p>
            <w:r/>
            <w:r>
              <w:rPr>
                <w:b w:val="0"/>
                <w:sz w:val="14"/>
              </w:rPr>
              <w:t>191</w:t>
            </w:r>
          </w:p>
        </w:tc>
        <w:tc>
          <w:tcPr>
            <w:tcW w:type="dxa" w:w="1104"/>
            <w:vAlign w:val="center"/>
          </w:tcPr>
          <w:p>
            <w:r/>
            <w:r>
              <w:rPr>
                <w:b w:val="0"/>
                <w:sz w:val="14"/>
              </w:rPr>
              <w:t>32.98 %</w:t>
            </w:r>
          </w:p>
        </w:tc>
        <w:tc>
          <w:tcPr>
            <w:tcW w:type="dxa" w:w="1104"/>
            <w:vAlign w:val="center"/>
          </w:tcPr>
          <w:p>
            <w:r/>
            <w:r>
              <w:rPr>
                <w:b w:val="0"/>
                <w:sz w:val="14"/>
              </w:rPr>
              <w:t>92.15 %</w:t>
            </w:r>
          </w:p>
        </w:tc>
        <w:tc>
          <w:tcPr>
            <w:tcW w:type="dxa" w:w="1104"/>
            <w:vAlign w:val="center"/>
          </w:tcPr>
          <w:p>
            <w:r/>
            <w:r>
              <w:rPr>
                <w:b w:val="0"/>
                <w:sz w:val="14"/>
              </w:rPr>
              <w:t>93.33 %</w:t>
            </w:r>
          </w:p>
        </w:tc>
        <w:tc>
          <w:tcPr>
            <w:tcW w:type="dxa" w:w="1104"/>
            <w:vAlign w:val="center"/>
          </w:tcPr>
          <w:p>
            <w:r/>
            <w:r>
              <w:rPr>
                <w:b w:val="0"/>
                <w:sz w:val="14"/>
              </w:rPr>
              <w:t>96.83 %</w:t>
            </w:r>
          </w:p>
        </w:tc>
        <w:tc>
          <w:tcPr>
            <w:tcW w:type="dxa" w:w="1104"/>
            <w:vAlign w:val="center"/>
          </w:tcPr>
          <w:p>
            <w:r/>
            <w:r>
              <w:rPr>
                <w:b w:val="0"/>
                <w:sz w:val="14"/>
              </w:rPr>
              <w:t>89.84 %</w:t>
            </w:r>
          </w:p>
        </w:tc>
        <w:tc>
          <w:tcPr>
            <w:tcW w:type="dxa" w:w="1104"/>
            <w:vAlign w:val="center"/>
          </w:tcPr>
          <w:p>
            <w:r/>
            <w:r>
              <w:rPr>
                <w:b w:val="0"/>
                <w:sz w:val="14"/>
              </w:rPr>
              <w:t>97.15 %</w:t>
            </w:r>
          </w:p>
        </w:tc>
      </w:tr>
      <w:tr>
        <w:tc>
          <w:tcPr>
            <w:tcW w:type="dxa" w:w="1104"/>
            <w:vAlign w:val="center"/>
          </w:tcPr>
          <w:p>
            <w:r/>
            <w:r>
              <w:rPr>
                <w:b w:val="0"/>
                <w:sz w:val="14"/>
              </w:rPr>
              <w:t>policy_stance</w:t>
            </w:r>
          </w:p>
        </w:tc>
        <w:tc>
          <w:tcPr>
            <w:tcW w:type="dxa" w:w="1104"/>
            <w:vAlign w:val="center"/>
          </w:tcPr>
          <w:p>
            <w:r/>
            <w:r>
              <w:rPr>
                <w:b w:val="0"/>
                <w:sz w:val="14"/>
              </w:rPr>
              <w:t>tightening</w:t>
            </w:r>
          </w:p>
        </w:tc>
        <w:tc>
          <w:tcPr>
            <w:tcW w:type="dxa" w:w="1104"/>
            <w:vAlign w:val="center"/>
          </w:tcPr>
          <w:p>
            <w:r/>
            <w:r>
              <w:rPr>
                <w:b w:val="0"/>
                <w:sz w:val="14"/>
              </w:rPr>
              <w:t>420</w:t>
            </w:r>
          </w:p>
        </w:tc>
        <w:tc>
          <w:tcPr>
            <w:tcW w:type="dxa" w:w="1104"/>
            <w:vAlign w:val="center"/>
          </w:tcPr>
          <w:p>
            <w:r/>
            <w:r>
              <w:rPr>
                <w:b w:val="0"/>
                <w:sz w:val="14"/>
              </w:rPr>
              <w:t>35.00 %</w:t>
            </w:r>
          </w:p>
        </w:tc>
        <w:tc>
          <w:tcPr>
            <w:tcW w:type="dxa" w:w="1104"/>
            <w:vAlign w:val="center"/>
          </w:tcPr>
          <w:p>
            <w:r/>
            <w:r>
              <w:rPr>
                <w:b w:val="0"/>
                <w:sz w:val="14"/>
              </w:rPr>
              <w:t>92.14 %</w:t>
            </w:r>
          </w:p>
        </w:tc>
        <w:tc>
          <w:tcPr>
            <w:tcW w:type="dxa" w:w="1104"/>
            <w:vAlign w:val="center"/>
          </w:tcPr>
          <w:p>
            <w:r/>
            <w:r>
              <w:rPr>
                <w:b w:val="0"/>
                <w:sz w:val="14"/>
              </w:rPr>
              <w:t>93.17 %</w:t>
            </w:r>
          </w:p>
        </w:tc>
        <w:tc>
          <w:tcPr>
            <w:tcW w:type="dxa" w:w="1104"/>
            <w:vAlign w:val="center"/>
          </w:tcPr>
          <w:p>
            <w:r/>
            <w:r>
              <w:rPr>
                <w:b w:val="0"/>
                <w:sz w:val="14"/>
              </w:rPr>
              <w:t>96.60 %</w:t>
            </w:r>
          </w:p>
        </w:tc>
        <w:tc>
          <w:tcPr>
            <w:tcW w:type="dxa" w:w="1104"/>
            <w:vAlign w:val="center"/>
          </w:tcPr>
          <w:p>
            <w:r/>
            <w:r>
              <w:rPr>
                <w:b w:val="0"/>
                <w:sz w:val="14"/>
              </w:rPr>
              <w:t>89.74 %</w:t>
            </w:r>
          </w:p>
        </w:tc>
        <w:tc>
          <w:tcPr>
            <w:tcW w:type="dxa" w:w="1104"/>
            <w:vAlign w:val="center"/>
          </w:tcPr>
          <w:p>
            <w:r/>
            <w:r>
              <w:rPr>
                <w:b w:val="0"/>
                <w:sz w:val="14"/>
              </w:rPr>
              <w:t>98.91 %</w:t>
            </w:r>
          </w:p>
        </w:tc>
      </w:tr>
      <w:tr>
        <w:tc>
          <w:tcPr>
            <w:tcW w:type="dxa" w:w="1104"/>
            <w:vAlign w:val="center"/>
          </w:tcPr>
          <w:p>
            <w:r/>
            <w:r>
              <w:rPr>
                <w:b w:val="0"/>
                <w:sz w:val="14"/>
              </w:rPr>
              <w:t>cluster_chg</w:t>
            </w:r>
          </w:p>
        </w:tc>
        <w:tc>
          <w:tcPr>
            <w:tcW w:type="dxa" w:w="1104"/>
            <w:vAlign w:val="center"/>
          </w:tcPr>
          <w:p>
            <w:r/>
            <w:r>
              <w:rPr>
                <w:b w:val="0"/>
                <w:sz w:val="14"/>
              </w:rPr>
              <w:t>3</w:t>
            </w:r>
          </w:p>
        </w:tc>
        <w:tc>
          <w:tcPr>
            <w:tcW w:type="dxa" w:w="1104"/>
            <w:vAlign w:val="center"/>
          </w:tcPr>
          <w:p>
            <w:r/>
            <w:r>
              <w:rPr>
                <w:b w:val="0"/>
                <w:sz w:val="14"/>
              </w:rPr>
              <w:t>688</w:t>
            </w:r>
          </w:p>
        </w:tc>
        <w:tc>
          <w:tcPr>
            <w:tcW w:type="dxa" w:w="1104"/>
            <w:vAlign w:val="center"/>
          </w:tcPr>
          <w:p>
            <w:r/>
            <w:r>
              <w:rPr>
                <w:b w:val="0"/>
                <w:sz w:val="14"/>
              </w:rPr>
              <w:t>40.55 %</w:t>
            </w:r>
          </w:p>
        </w:tc>
        <w:tc>
          <w:tcPr>
            <w:tcW w:type="dxa" w:w="1104"/>
            <w:vAlign w:val="center"/>
          </w:tcPr>
          <w:p>
            <w:r/>
            <w:r>
              <w:rPr>
                <w:b w:val="0"/>
                <w:sz w:val="14"/>
              </w:rPr>
              <w:t>92.15 %</w:t>
            </w:r>
          </w:p>
        </w:tc>
        <w:tc>
          <w:tcPr>
            <w:tcW w:type="dxa" w:w="1104"/>
            <w:vAlign w:val="center"/>
          </w:tcPr>
          <w:p>
            <w:r/>
            <w:r>
              <w:rPr>
                <w:b w:val="0"/>
                <w:sz w:val="14"/>
              </w:rPr>
              <w:t>92.83 %</w:t>
            </w:r>
          </w:p>
        </w:tc>
        <w:tc>
          <w:tcPr>
            <w:tcW w:type="dxa" w:w="1104"/>
            <w:vAlign w:val="center"/>
          </w:tcPr>
          <w:p>
            <w:r/>
            <w:r>
              <w:rPr>
                <w:b w:val="0"/>
                <w:sz w:val="14"/>
              </w:rPr>
              <w:t>96.42 %</w:t>
            </w:r>
          </w:p>
        </w:tc>
        <w:tc>
          <w:tcPr>
            <w:tcW w:type="dxa" w:w="1104"/>
            <w:vAlign w:val="center"/>
          </w:tcPr>
          <w:p>
            <w:r/>
            <w:r>
              <w:rPr>
                <w:b w:val="0"/>
                <w:sz w:val="14"/>
              </w:rPr>
              <w:t>89.24 %</w:t>
            </w:r>
          </w:p>
        </w:tc>
        <w:tc>
          <w:tcPr>
            <w:tcW w:type="dxa" w:w="1104"/>
            <w:vAlign w:val="center"/>
          </w:tcPr>
          <w:p>
            <w:r/>
            <w:r>
              <w:rPr>
                <w:b w:val="0"/>
                <w:sz w:val="14"/>
              </w:rPr>
              <w:t>95.91 %</w:t>
            </w:r>
          </w:p>
        </w:tc>
      </w:tr>
      <w:tr>
        <w:tc>
          <w:tcPr>
            <w:tcW w:type="dxa" w:w="1104"/>
            <w:vAlign w:val="center"/>
          </w:tcPr>
          <w:p>
            <w:r/>
            <w:r>
              <w:rPr>
                <w:b w:val="0"/>
                <w:sz w:val="14"/>
              </w:rPr>
              <w:t>policy_stance</w:t>
            </w:r>
          </w:p>
        </w:tc>
        <w:tc>
          <w:tcPr>
            <w:tcW w:type="dxa" w:w="1104"/>
            <w:vAlign w:val="center"/>
          </w:tcPr>
          <w:p>
            <w:r/>
            <w:r>
              <w:rPr>
                <w:b w:val="0"/>
                <w:sz w:val="14"/>
              </w:rPr>
              <w:t>easing</w:t>
            </w:r>
          </w:p>
        </w:tc>
        <w:tc>
          <w:tcPr>
            <w:tcW w:type="dxa" w:w="1104"/>
            <w:vAlign w:val="center"/>
          </w:tcPr>
          <w:p>
            <w:r/>
            <w:r>
              <w:rPr>
                <w:b w:val="0"/>
                <w:sz w:val="14"/>
              </w:rPr>
              <w:t>420</w:t>
            </w:r>
          </w:p>
        </w:tc>
        <w:tc>
          <w:tcPr>
            <w:tcW w:type="dxa" w:w="1104"/>
            <w:vAlign w:val="center"/>
          </w:tcPr>
          <w:p>
            <w:r/>
            <w:r>
              <w:rPr>
                <w:b w:val="0"/>
                <w:sz w:val="14"/>
              </w:rPr>
              <w:t>45.00 %</w:t>
            </w:r>
          </w:p>
        </w:tc>
        <w:tc>
          <w:tcPr>
            <w:tcW w:type="dxa" w:w="1104"/>
            <w:vAlign w:val="center"/>
          </w:tcPr>
          <w:p>
            <w:r/>
            <w:r>
              <w:rPr>
                <w:b w:val="0"/>
                <w:sz w:val="14"/>
              </w:rPr>
              <w:t>92.38 %</w:t>
            </w:r>
          </w:p>
        </w:tc>
        <w:tc>
          <w:tcPr>
            <w:tcW w:type="dxa" w:w="1104"/>
            <w:vAlign w:val="center"/>
          </w:tcPr>
          <w:p>
            <w:r/>
            <w:r>
              <w:rPr>
                <w:b w:val="0"/>
                <w:sz w:val="14"/>
              </w:rPr>
              <w:t>92.54 %</w:t>
            </w:r>
          </w:p>
        </w:tc>
        <w:tc>
          <w:tcPr>
            <w:tcW w:type="dxa" w:w="1104"/>
            <w:vAlign w:val="center"/>
          </w:tcPr>
          <w:p>
            <w:r/>
            <w:r>
              <w:rPr>
                <w:b w:val="0"/>
                <w:sz w:val="14"/>
              </w:rPr>
              <w:t>94.18 %</w:t>
            </w:r>
          </w:p>
        </w:tc>
        <w:tc>
          <w:tcPr>
            <w:tcW w:type="dxa" w:w="1104"/>
            <w:vAlign w:val="center"/>
          </w:tcPr>
          <w:p>
            <w:r/>
            <w:r>
              <w:rPr>
                <w:b w:val="0"/>
                <w:sz w:val="14"/>
              </w:rPr>
              <w:t>90.91 %</w:t>
            </w:r>
          </w:p>
        </w:tc>
        <w:tc>
          <w:tcPr>
            <w:tcW w:type="dxa" w:w="1104"/>
            <w:vAlign w:val="center"/>
          </w:tcPr>
          <w:p>
            <w:r/>
            <w:r>
              <w:rPr>
                <w:b w:val="0"/>
                <w:sz w:val="14"/>
              </w:rPr>
              <w:t>95.58 %</w:t>
            </w:r>
          </w:p>
        </w:tc>
      </w:tr>
      <w:tr>
        <w:tc>
          <w:tcPr>
            <w:tcW w:type="dxa" w:w="1104"/>
            <w:vAlign w:val="center"/>
          </w:tcPr>
          <w:p>
            <w:r/>
            <w:r>
              <w:rPr>
                <w:b w:val="0"/>
                <w:sz w:val="14"/>
              </w:rPr>
              <w:t>cluster_chg</w:t>
            </w:r>
          </w:p>
        </w:tc>
        <w:tc>
          <w:tcPr>
            <w:tcW w:type="dxa" w:w="1104"/>
            <w:vAlign w:val="center"/>
          </w:tcPr>
          <w:p>
            <w:r/>
            <w:r>
              <w:rPr>
                <w:b w:val="0"/>
                <w:sz w:val="14"/>
              </w:rPr>
              <w:t>4</w:t>
            </w:r>
          </w:p>
        </w:tc>
        <w:tc>
          <w:tcPr>
            <w:tcW w:type="dxa" w:w="1104"/>
            <w:vAlign w:val="center"/>
          </w:tcPr>
          <w:p>
            <w:r/>
            <w:r>
              <w:rPr>
                <w:b w:val="0"/>
                <w:sz w:val="14"/>
              </w:rPr>
              <w:t>152</w:t>
            </w:r>
          </w:p>
        </w:tc>
        <w:tc>
          <w:tcPr>
            <w:tcW w:type="dxa" w:w="1104"/>
            <w:vAlign w:val="center"/>
          </w:tcPr>
          <w:p>
            <w:r/>
            <w:r>
              <w:rPr>
                <w:b w:val="0"/>
                <w:sz w:val="14"/>
              </w:rPr>
              <w:t>25.66 %</w:t>
            </w:r>
          </w:p>
        </w:tc>
        <w:tc>
          <w:tcPr>
            <w:tcW w:type="dxa" w:w="1104"/>
            <w:vAlign w:val="center"/>
          </w:tcPr>
          <w:p>
            <w:r/>
            <w:r>
              <w:rPr>
                <w:b w:val="0"/>
                <w:sz w:val="14"/>
              </w:rPr>
              <w:t>87.50 %</w:t>
            </w:r>
          </w:p>
        </w:tc>
        <w:tc>
          <w:tcPr>
            <w:tcW w:type="dxa" w:w="1104"/>
            <w:vAlign w:val="center"/>
          </w:tcPr>
          <w:p>
            <w:r/>
            <w:r>
              <w:rPr>
                <w:b w:val="0"/>
                <w:sz w:val="14"/>
              </w:rPr>
              <w:t>91.59 %</w:t>
            </w:r>
          </w:p>
        </w:tc>
        <w:tc>
          <w:tcPr>
            <w:tcW w:type="dxa" w:w="1104"/>
            <w:vAlign w:val="center"/>
          </w:tcPr>
          <w:p>
            <w:r/>
            <w:r>
              <w:rPr>
                <w:b w:val="0"/>
                <w:sz w:val="14"/>
              </w:rPr>
              <w:t>100.00 %</w:t>
            </w:r>
          </w:p>
        </w:tc>
        <w:tc>
          <w:tcPr>
            <w:tcW w:type="dxa" w:w="1104"/>
            <w:vAlign w:val="center"/>
          </w:tcPr>
          <w:p>
            <w:r/>
            <w:r>
              <w:rPr>
                <w:b w:val="0"/>
                <w:sz w:val="14"/>
              </w:rPr>
              <w:t>83.19 %</w:t>
            </w:r>
          </w:p>
        </w:tc>
        <w:tc>
          <w:tcPr>
            <w:tcW w:type="dxa" w:w="1104"/>
            <w:vAlign w:val="center"/>
          </w:tcPr>
          <w:p>
            <w:r/>
            <w:r>
              <w:rPr>
                <w:b w:val="0"/>
                <w:sz w:val="14"/>
              </w:rPr>
              <w:t>98.53 %</w:t>
            </w:r>
          </w:p>
        </w:tc>
      </w:tr>
      <w:tr>
        <w:tc>
          <w:tcPr>
            <w:tcW w:type="dxa" w:w="1104"/>
            <w:vAlign w:val="center"/>
          </w:tcPr>
          <w:p>
            <w:r/>
            <w:r>
              <w:rPr>
                <w:b w:val="0"/>
                <w:sz w:val="14"/>
              </w:rPr>
              <w:t>periodo_presidencial</w:t>
            </w:r>
          </w:p>
        </w:tc>
        <w:tc>
          <w:tcPr>
            <w:tcW w:type="dxa" w:w="1104"/>
            <w:vAlign w:val="center"/>
          </w:tcPr>
          <w:p>
            <w:r/>
            <w:r>
              <w:rPr>
                <w:b w:val="0"/>
                <w:sz w:val="14"/>
              </w:rPr>
              <w:t>Petro</w:t>
            </w:r>
          </w:p>
        </w:tc>
        <w:tc>
          <w:tcPr>
            <w:tcW w:type="dxa" w:w="1104"/>
            <w:vAlign w:val="center"/>
          </w:tcPr>
          <w:p>
            <w:r/>
            <w:r>
              <w:rPr>
                <w:b w:val="0"/>
                <w:sz w:val="14"/>
              </w:rPr>
              <w:t>998</w:t>
            </w:r>
          </w:p>
        </w:tc>
        <w:tc>
          <w:tcPr>
            <w:tcW w:type="dxa" w:w="1104"/>
            <w:vAlign w:val="center"/>
          </w:tcPr>
          <w:p>
            <w:r/>
            <w:r>
              <w:rPr>
                <w:b w:val="0"/>
                <w:sz w:val="14"/>
              </w:rPr>
              <w:t>44.19 %</w:t>
            </w:r>
          </w:p>
        </w:tc>
        <w:tc>
          <w:tcPr>
            <w:tcW w:type="dxa" w:w="1104"/>
            <w:vAlign w:val="center"/>
          </w:tcPr>
          <w:p>
            <w:r/>
            <w:r>
              <w:rPr>
                <w:b w:val="0"/>
                <w:sz w:val="14"/>
              </w:rPr>
              <w:t>90.08 %</w:t>
            </w:r>
          </w:p>
        </w:tc>
        <w:tc>
          <w:tcPr>
            <w:tcW w:type="dxa" w:w="1104"/>
            <w:vAlign w:val="center"/>
          </w:tcPr>
          <w:p>
            <w:r/>
            <w:r>
              <w:rPr>
                <w:b w:val="0"/>
                <w:sz w:val="14"/>
              </w:rPr>
              <w:t>90.31 %</w:t>
            </w:r>
          </w:p>
        </w:tc>
        <w:tc>
          <w:tcPr>
            <w:tcW w:type="dxa" w:w="1104"/>
            <w:vAlign w:val="center"/>
          </w:tcPr>
          <w:p>
            <w:r/>
            <w:r>
              <w:rPr>
                <w:b w:val="0"/>
                <w:sz w:val="14"/>
              </w:rPr>
              <w:t>92.29 %</w:t>
            </w:r>
          </w:p>
        </w:tc>
        <w:tc>
          <w:tcPr>
            <w:tcW w:type="dxa" w:w="1104"/>
            <w:vAlign w:val="center"/>
          </w:tcPr>
          <w:p>
            <w:r/>
            <w:r>
              <w:rPr>
                <w:b w:val="0"/>
                <w:sz w:val="14"/>
              </w:rPr>
              <w:t>88.33 %</w:t>
            </w:r>
          </w:p>
        </w:tc>
        <w:tc>
          <w:tcPr>
            <w:tcW w:type="dxa" w:w="1104"/>
            <w:vAlign w:val="center"/>
          </w:tcPr>
          <w:p>
            <w:r/>
            <w:r>
              <w:rPr>
                <w:b w:val="0"/>
                <w:sz w:val="14"/>
              </w:rPr>
              <w:t>95.42 %</w:t>
            </w:r>
          </w:p>
        </w:tc>
      </w:tr>
      <w:tr>
        <w:tc>
          <w:tcPr>
            <w:tcW w:type="dxa" w:w="1104"/>
            <w:vAlign w:val="center"/>
          </w:tcPr>
          <w:p>
            <w:r/>
            <w:r>
              <w:rPr>
                <w:b w:val="0"/>
                <w:sz w:val="14"/>
              </w:rPr>
              <w:t>cluster_abs</w:t>
            </w:r>
          </w:p>
        </w:tc>
        <w:tc>
          <w:tcPr>
            <w:tcW w:type="dxa" w:w="1104"/>
            <w:vAlign w:val="center"/>
          </w:tcPr>
          <w:p>
            <w:r/>
            <w:r>
              <w:rPr>
                <w:b w:val="0"/>
                <w:sz w:val="14"/>
              </w:rPr>
              <w:t>1</w:t>
            </w:r>
          </w:p>
        </w:tc>
        <w:tc>
          <w:tcPr>
            <w:tcW w:type="dxa" w:w="1104"/>
            <w:vAlign w:val="center"/>
          </w:tcPr>
          <w:p>
            <w:r/>
            <w:r>
              <w:rPr>
                <w:b w:val="0"/>
                <w:sz w:val="14"/>
              </w:rPr>
              <w:t>728</w:t>
            </w:r>
          </w:p>
        </w:tc>
        <w:tc>
          <w:tcPr>
            <w:tcW w:type="dxa" w:w="1104"/>
            <w:vAlign w:val="center"/>
          </w:tcPr>
          <w:p>
            <w:r/>
            <w:r>
              <w:rPr>
                <w:b w:val="0"/>
                <w:sz w:val="14"/>
              </w:rPr>
              <w:t>43.27 %</w:t>
            </w:r>
          </w:p>
        </w:tc>
        <w:tc>
          <w:tcPr>
            <w:tcW w:type="dxa" w:w="1104"/>
            <w:vAlign w:val="center"/>
          </w:tcPr>
          <w:p>
            <w:r/>
            <w:r>
              <w:rPr>
                <w:b w:val="0"/>
                <w:sz w:val="14"/>
              </w:rPr>
              <w:t>90.25 %</w:t>
            </w:r>
          </w:p>
        </w:tc>
        <w:tc>
          <w:tcPr>
            <w:tcW w:type="dxa" w:w="1104"/>
            <w:vAlign w:val="center"/>
          </w:tcPr>
          <w:p>
            <w:r/>
            <w:r>
              <w:rPr>
                <w:b w:val="0"/>
                <w:sz w:val="14"/>
              </w:rPr>
              <w:t>90.12 %</w:t>
            </w:r>
          </w:p>
        </w:tc>
        <w:tc>
          <w:tcPr>
            <w:tcW w:type="dxa" w:w="1104"/>
            <w:vAlign w:val="center"/>
          </w:tcPr>
          <w:p>
            <w:r/>
            <w:r>
              <w:rPr>
                <w:b w:val="0"/>
                <w:sz w:val="14"/>
              </w:rPr>
              <w:t>89.21 %</w:t>
            </w:r>
          </w:p>
        </w:tc>
        <w:tc>
          <w:tcPr>
            <w:tcW w:type="dxa" w:w="1104"/>
            <w:vAlign w:val="center"/>
          </w:tcPr>
          <w:p>
            <w:r/>
            <w:r>
              <w:rPr>
                <w:b w:val="0"/>
                <w:sz w:val="14"/>
              </w:rPr>
              <w:t>91.04 %</w:t>
            </w:r>
          </w:p>
        </w:tc>
        <w:tc>
          <w:tcPr>
            <w:tcW w:type="dxa" w:w="1104"/>
            <w:vAlign w:val="center"/>
          </w:tcPr>
          <w:p>
            <w:r/>
            <w:r>
              <w:rPr>
                <w:b w:val="0"/>
                <w:sz w:val="14"/>
              </w:rPr>
              <w:t>94.34 %</w:t>
            </w:r>
          </w:p>
        </w:tc>
      </w:tr>
      <w:tr>
        <w:tc>
          <w:tcPr>
            <w:tcW w:type="dxa" w:w="1104"/>
            <w:vAlign w:val="center"/>
          </w:tcPr>
          <w:p>
            <w:r/>
            <w:r>
              <w:rPr>
                <w:b w:val="0"/>
                <w:sz w:val="14"/>
              </w:rPr>
              <w:t>dd_lag1_dd_clasificacion</w:t>
            </w:r>
          </w:p>
        </w:tc>
        <w:tc>
          <w:tcPr>
            <w:tcW w:type="dxa" w:w="1104"/>
            <w:vAlign w:val="center"/>
          </w:tcPr>
          <w:p>
            <w:r/>
            <w:r>
              <w:rPr>
                <w:b w:val="0"/>
                <w:sz w:val="14"/>
              </w:rPr>
              <w:t>Sin evidencia suficiente</w:t>
            </w:r>
          </w:p>
        </w:tc>
        <w:tc>
          <w:tcPr>
            <w:tcW w:type="dxa" w:w="1104"/>
            <w:vAlign w:val="center"/>
          </w:tcPr>
          <w:p>
            <w:r/>
            <w:r>
              <w:rPr>
                <w:b w:val="0"/>
                <w:sz w:val="14"/>
              </w:rPr>
              <w:t>730</w:t>
            </w:r>
          </w:p>
        </w:tc>
        <w:tc>
          <w:tcPr>
            <w:tcW w:type="dxa" w:w="1104"/>
            <w:vAlign w:val="center"/>
          </w:tcPr>
          <w:p>
            <w:r/>
            <w:r>
              <w:rPr>
                <w:b w:val="0"/>
                <w:sz w:val="14"/>
              </w:rPr>
              <w:t>28.77 %</w:t>
            </w:r>
          </w:p>
        </w:tc>
        <w:tc>
          <w:tcPr>
            <w:tcW w:type="dxa" w:w="1104"/>
            <w:vAlign w:val="center"/>
          </w:tcPr>
          <w:p>
            <w:r/>
            <w:r>
              <w:rPr>
                <w:b w:val="0"/>
                <w:sz w:val="14"/>
              </w:rPr>
              <w:t>89.45 %</w:t>
            </w:r>
          </w:p>
        </w:tc>
        <w:tc>
          <w:tcPr>
            <w:tcW w:type="dxa" w:w="1104"/>
            <w:vAlign w:val="center"/>
          </w:tcPr>
          <w:p>
            <w:r/>
            <w:r>
              <w:rPr>
                <w:b w:val="0"/>
                <w:sz w:val="14"/>
              </w:rPr>
              <w:t>89.62 %</w:t>
            </w:r>
          </w:p>
        </w:tc>
        <w:tc>
          <w:tcPr>
            <w:tcW w:type="dxa" w:w="1104"/>
            <w:vAlign w:val="center"/>
          </w:tcPr>
          <w:p>
            <w:r/>
            <w:r>
              <w:rPr>
                <w:b w:val="0"/>
                <w:sz w:val="14"/>
              </w:rPr>
              <w:t>90.00 %</w:t>
            </w:r>
          </w:p>
        </w:tc>
        <w:tc>
          <w:tcPr>
            <w:tcW w:type="dxa" w:w="1104"/>
            <w:vAlign w:val="center"/>
          </w:tcPr>
          <w:p>
            <w:r/>
            <w:r>
              <w:rPr>
                <w:b w:val="0"/>
                <w:sz w:val="14"/>
              </w:rPr>
              <w:t>89.23 %</w:t>
            </w:r>
          </w:p>
        </w:tc>
        <w:tc>
          <w:tcPr>
            <w:tcW w:type="dxa" w:w="1104"/>
            <w:vAlign w:val="center"/>
          </w:tcPr>
          <w:p>
            <w:r/>
            <w:r>
              <w:rPr>
                <w:b w:val="0"/>
                <w:sz w:val="14"/>
              </w:rPr>
              <w:t>95.61 %</w:t>
            </w:r>
          </w:p>
        </w:tc>
      </w:tr>
    </w:tbl>
    <w:p/>
    <w:p>
      <w:pPr>
        <w:jc w:val="center"/>
      </w:pPr>
      <w:r>
        <w:drawing>
          <wp:inline xmlns:a="http://schemas.openxmlformats.org/drawingml/2006/main" xmlns:pic="http://schemas.openxmlformats.org/drawingml/2006/picture">
            <wp:extent cx="5760720" cy="2880360"/>
            <wp:docPr id="12" name="Picture 12"/>
            <wp:cNvGraphicFramePr>
              <a:graphicFrameLocks noChangeAspect="1"/>
            </wp:cNvGraphicFramePr>
            <a:graphic>
              <a:graphicData uri="http://schemas.openxmlformats.org/drawingml/2006/picture">
                <pic:pic>
                  <pic:nvPicPr>
                    <pic:cNvPr id="0" name="cluster_profile_abs_heatmap.png"/>
                    <pic:cNvPicPr/>
                  </pic:nvPicPr>
                  <pic:blipFill>
                    <a:blip r:embed="rId20"/>
                    <a:stretch>
                      <a:fillRect/>
                    </a:stretch>
                  </pic:blipFill>
                  <pic:spPr>
                    <a:xfrm>
                      <a:off x="0" y="0"/>
                      <a:ext cx="5760720" cy="2880360"/>
                    </a:xfrm>
                    <a:prstGeom prst="rect"/>
                  </pic:spPr>
                </pic:pic>
              </a:graphicData>
            </a:graphic>
          </wp:inline>
        </w:drawing>
      </w:r>
    </w:p>
    <w:p>
      <w:pPr>
        <w:jc w:val="center"/>
      </w:pPr>
      <w:r>
        <w:rPr>
          <w:i/>
          <w:sz w:val="18"/>
        </w:rPr>
        <w:t>Figura 12. Perfil de clusters en niveles absolutos.</w:t>
      </w:r>
    </w:p>
    <w:p>
      <w:pPr>
        <w:jc w:val="center"/>
      </w:pPr>
      <w:r>
        <w:drawing>
          <wp:inline xmlns:a="http://schemas.openxmlformats.org/drawingml/2006/main" xmlns:pic="http://schemas.openxmlformats.org/drawingml/2006/picture">
            <wp:extent cx="5760720" cy="4608576"/>
            <wp:docPr id="13" name="Picture 13"/>
            <wp:cNvGraphicFramePr>
              <a:graphicFrameLocks noChangeAspect="1"/>
            </wp:cNvGraphicFramePr>
            <a:graphic>
              <a:graphicData uri="http://schemas.openxmlformats.org/drawingml/2006/picture">
                <pic:pic>
                  <pic:nvPicPr>
                    <pic:cNvPr id="0" name="cluster_transition_abs_heatmap.png"/>
                    <pic:cNvPicPr/>
                  </pic:nvPicPr>
                  <pic:blipFill>
                    <a:blip r:embed="rId21"/>
                    <a:stretch>
                      <a:fillRect/>
                    </a:stretch>
                  </pic:blipFill>
                  <pic:spPr>
                    <a:xfrm>
                      <a:off x="0" y="0"/>
                      <a:ext cx="5760720" cy="4608576"/>
                    </a:xfrm>
                    <a:prstGeom prst="rect"/>
                  </pic:spPr>
                </pic:pic>
              </a:graphicData>
            </a:graphic>
          </wp:inline>
        </w:drawing>
      </w:r>
    </w:p>
    <w:p>
      <w:pPr>
        <w:jc w:val="center"/>
      </w:pPr>
      <w:r>
        <w:rPr>
          <w:i/>
          <w:sz w:val="18"/>
        </w:rPr>
        <w:t>Figura 13. Matriz de transicion de clusters en niveles absolutos.</w:t>
      </w:r>
    </w:p>
    <w:p>
      <w:pPr>
        <w:jc w:val="center"/>
      </w:pPr>
      <w:r>
        <w:drawing>
          <wp:inline xmlns:a="http://schemas.openxmlformats.org/drawingml/2006/main" xmlns:pic="http://schemas.openxmlformats.org/drawingml/2006/picture">
            <wp:extent cx="5760720" cy="3142211"/>
            <wp:docPr id="14" name="Picture 14"/>
            <wp:cNvGraphicFramePr>
              <a:graphicFrameLocks noChangeAspect="1"/>
            </wp:cNvGraphicFramePr>
            <a:graphic>
              <a:graphicData uri="http://schemas.openxmlformats.org/drawingml/2006/picture">
                <pic:pic>
                  <pic:nvPicPr>
                    <pic:cNvPr id="0" name="stochastic_volatility_by_segment.png"/>
                    <pic:cNvPicPr/>
                  </pic:nvPicPr>
                  <pic:blipFill>
                    <a:blip r:embed="rId22"/>
                    <a:stretch>
                      <a:fillRect/>
                    </a:stretch>
                  </pic:blipFill>
                  <pic:spPr>
                    <a:xfrm>
                      <a:off x="0" y="0"/>
                      <a:ext cx="5760720" cy="3142211"/>
                    </a:xfrm>
                    <a:prstGeom prst="rect"/>
                  </pic:spPr>
                </pic:pic>
              </a:graphicData>
            </a:graphic>
          </wp:inline>
        </w:drawing>
      </w:r>
    </w:p>
    <w:p>
      <w:pPr>
        <w:jc w:val="center"/>
      </w:pPr>
      <w:r>
        <w:rPr>
          <w:i/>
          <w:sz w:val="18"/>
        </w:rPr>
        <w:t>Figura 14. Volatilidad por segmento.</w:t>
      </w:r>
    </w:p>
    <w:p>
      <w:pPr>
        <w:pStyle w:val="Heading1"/>
      </w:pPr>
      <w:r>
        <w:rPr>
          <w:rFonts w:ascii="Aptos Display" w:hAnsi="Aptos Display"/>
          <w:color w:val="1F4E79"/>
        </w:rPr>
        <w:t>9. Capa auxiliar de magnitud</w:t>
      </w:r>
    </w:p>
    <w:p>
      <w:r>
        <w:t>Aunque el objetivo principal es direccional, se genera una capa auxiliar de magnitud mediante regresion directa del retorno futuro. Esta capa no reemplaza la clasificacion; sirve para estimar retornos esperados y precios esperados a h21, y para alimentar el simulador y el dashboard.</w:t>
      </w:r>
    </w:p>
    <w:p>
      <w:pPr>
        <w:jc w:val="center"/>
      </w:pPr>
      <w:r>
        <w:rPr>
          <w:b/>
          <w:sz w:val="20"/>
        </w:rPr>
        <w:t>Tabla 14. Resultados de la capa auxiliar de magnitud</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1F4E79"/>
            <w:vAlign w:val="center"/>
          </w:tcPr>
          <w:p>
            <w:r/>
            <w:r>
              <w:rPr>
                <w:b/>
                <w:color w:val="FFFFFF"/>
                <w:sz w:val="16"/>
              </w:rPr>
              <w:t>Modelo</w:t>
            </w:r>
          </w:p>
        </w:tc>
        <w:tc>
          <w:tcPr>
            <w:tcW w:type="dxa" w:w="1242"/>
            <w:shd w:fill="1F4E79"/>
            <w:vAlign w:val="center"/>
          </w:tcPr>
          <w:p>
            <w:r/>
            <w:r>
              <w:rPr>
                <w:b/>
                <w:color w:val="FFFFFF"/>
                <w:sz w:val="16"/>
              </w:rPr>
              <w:t>Metodo magnitud</w:t>
            </w:r>
          </w:p>
        </w:tc>
        <w:tc>
          <w:tcPr>
            <w:tcW w:type="dxa" w:w="1242"/>
            <w:shd w:fill="1F4E79"/>
            <w:vAlign w:val="center"/>
          </w:tcPr>
          <w:p>
            <w:r/>
            <w:r>
              <w:rPr>
                <w:b/>
                <w:color w:val="FFFFFF"/>
                <w:sz w:val="16"/>
              </w:rPr>
              <w:t>RMSE retorno</w:t>
            </w:r>
          </w:p>
        </w:tc>
        <w:tc>
          <w:tcPr>
            <w:tcW w:type="dxa" w:w="1242"/>
            <w:shd w:fill="1F4E79"/>
            <w:vAlign w:val="center"/>
          </w:tcPr>
          <w:p>
            <w:r/>
            <w:r>
              <w:rPr>
                <w:b/>
                <w:color w:val="FFFFFF"/>
                <w:sz w:val="16"/>
              </w:rPr>
              <w:t>MAE retorno</w:t>
            </w:r>
          </w:p>
        </w:tc>
        <w:tc>
          <w:tcPr>
            <w:tcW w:type="dxa" w:w="1242"/>
            <w:shd w:fill="1F4E79"/>
            <w:vAlign w:val="center"/>
          </w:tcPr>
          <w:p>
            <w:r/>
            <w:r>
              <w:rPr>
                <w:b/>
                <w:color w:val="FFFFFF"/>
                <w:sz w:val="16"/>
              </w:rPr>
              <w:t>Corr retorno</w:t>
            </w:r>
          </w:p>
        </w:tc>
        <w:tc>
          <w:tcPr>
            <w:tcW w:type="dxa" w:w="1242"/>
            <w:shd w:fill="1F4E79"/>
            <w:vAlign w:val="center"/>
          </w:tcPr>
          <w:p>
            <w:r/>
            <w:r>
              <w:rPr>
                <w:b/>
                <w:color w:val="FFFFFF"/>
                <w:sz w:val="16"/>
              </w:rPr>
              <w:t>BACC direccional</w:t>
            </w:r>
          </w:p>
        </w:tc>
        <w:tc>
          <w:tcPr>
            <w:tcW w:type="dxa" w:w="1242"/>
            <w:shd w:fill="1F4E79"/>
            <w:vAlign w:val="center"/>
          </w:tcPr>
          <w:p>
            <w:r/>
            <w:r>
              <w:rPr>
                <w:b/>
                <w:color w:val="FFFFFF"/>
                <w:sz w:val="16"/>
              </w:rPr>
              <w:t>Bloques</w:t>
            </w:r>
          </w:p>
        </w:tc>
        <w:tc>
          <w:tcPr>
            <w:tcW w:type="dxa" w:w="1242"/>
            <w:shd w:fill="1F4E79"/>
            <w:vAlign w:val="center"/>
          </w:tcPr>
          <w:p>
            <w:r/>
            <w:r>
              <w:rPr>
                <w:b/>
                <w:color w:val="FFFFFF"/>
                <w:sz w:val="16"/>
              </w:rPr>
              <w:t>n test</w:t>
            </w:r>
          </w:p>
        </w:tc>
      </w:tr>
      <w:tr>
        <w:tc>
          <w:tcPr>
            <w:tcW w:type="dxa" w:w="1242"/>
            <w:vAlign w:val="center"/>
          </w:tcPr>
          <w:p>
            <w:r/>
            <w:r>
              <w:rPr>
                <w:b w:val="0"/>
                <w:sz w:val="16"/>
              </w:rPr>
              <w:t>XGBRegressor</w:t>
            </w:r>
          </w:p>
        </w:tc>
        <w:tc>
          <w:tcPr>
            <w:tcW w:type="dxa" w:w="1242"/>
            <w:vAlign w:val="center"/>
          </w:tcPr>
          <w:p>
            <w:r/>
            <w:r>
              <w:rPr>
                <w:b w:val="0"/>
                <w:sz w:val="16"/>
              </w:rPr>
              <w:t>direct_return_regression</w:t>
            </w:r>
          </w:p>
        </w:tc>
        <w:tc>
          <w:tcPr>
            <w:tcW w:type="dxa" w:w="1242"/>
            <w:vAlign w:val="center"/>
          </w:tcPr>
          <w:p>
            <w:r/>
            <w:r>
              <w:rPr>
                <w:b w:val="0"/>
                <w:sz w:val="16"/>
              </w:rPr>
              <w:t>0,0163</w:t>
            </w:r>
          </w:p>
        </w:tc>
        <w:tc>
          <w:tcPr>
            <w:tcW w:type="dxa" w:w="1242"/>
            <w:vAlign w:val="center"/>
          </w:tcPr>
          <w:p>
            <w:r/>
            <w:r>
              <w:rPr>
                <w:b w:val="0"/>
                <w:sz w:val="16"/>
              </w:rPr>
              <w:t>0,0127</w:t>
            </w:r>
          </w:p>
        </w:tc>
        <w:tc>
          <w:tcPr>
            <w:tcW w:type="dxa" w:w="1242"/>
            <w:vAlign w:val="center"/>
          </w:tcPr>
          <w:p>
            <w:r/>
            <w:r>
              <w:rPr>
                <w:b w:val="0"/>
                <w:sz w:val="16"/>
              </w:rPr>
              <w:t>0,715</w:t>
            </w:r>
          </w:p>
        </w:tc>
        <w:tc>
          <w:tcPr>
            <w:tcW w:type="dxa" w:w="1242"/>
            <w:vAlign w:val="center"/>
          </w:tcPr>
          <w:p>
            <w:r/>
            <w:r>
              <w:rPr>
                <w:b w:val="0"/>
                <w:sz w:val="16"/>
              </w:rPr>
              <w:t>73.74 %</w:t>
            </w:r>
          </w:p>
        </w:tc>
        <w:tc>
          <w:tcPr>
            <w:tcW w:type="dxa" w:w="1242"/>
            <w:vAlign w:val="center"/>
          </w:tcPr>
          <w:p>
            <w:r/>
            <w:r>
              <w:rPr>
                <w:b w:val="0"/>
                <w:sz w:val="16"/>
              </w:rPr>
              <w:t>10</w:t>
            </w:r>
          </w:p>
        </w:tc>
        <w:tc>
          <w:tcPr>
            <w:tcW w:type="dxa" w:w="1242"/>
            <w:vAlign w:val="center"/>
          </w:tcPr>
          <w:p>
            <w:r/>
            <w:r>
              <w:rPr>
                <w:b w:val="0"/>
                <w:sz w:val="16"/>
              </w:rPr>
              <w:t>1.826</w:t>
            </w:r>
          </w:p>
        </w:tc>
      </w:tr>
    </w:tbl>
    <w:p/>
    <w:p>
      <w:pPr>
        <w:jc w:val="center"/>
      </w:pPr>
      <w:r>
        <w:drawing>
          <wp:inline xmlns:a="http://schemas.openxmlformats.org/drawingml/2006/main" xmlns:pic="http://schemas.openxmlformats.org/drawingml/2006/picture">
            <wp:extent cx="5029200" cy="4310743"/>
            <wp:docPr id="15" name="Picture 15"/>
            <wp:cNvGraphicFramePr>
              <a:graphicFrameLocks noChangeAspect="1"/>
            </wp:cNvGraphicFramePr>
            <a:graphic>
              <a:graphicData uri="http://schemas.openxmlformats.org/drawingml/2006/picture">
                <pic:pic>
                  <pic:nvPicPr>
                    <pic:cNvPr id="0" name="real_vs_estimated_return.png"/>
                    <pic:cNvPicPr/>
                  </pic:nvPicPr>
                  <pic:blipFill>
                    <a:blip r:embed="rId23"/>
                    <a:stretch>
                      <a:fillRect/>
                    </a:stretch>
                  </pic:blipFill>
                  <pic:spPr>
                    <a:xfrm>
                      <a:off x="0" y="0"/>
                      <a:ext cx="5029200" cy="4310743"/>
                    </a:xfrm>
                    <a:prstGeom prst="rect"/>
                  </pic:spPr>
                </pic:pic>
              </a:graphicData>
            </a:graphic>
          </wp:inline>
        </w:drawing>
      </w:r>
    </w:p>
    <w:p>
      <w:pPr>
        <w:jc w:val="center"/>
      </w:pPr>
      <w:r>
        <w:rPr>
          <w:i/>
          <w:sz w:val="18"/>
        </w:rPr>
        <w:t>Figura 15. Retorno real versus retorno estimado.</w:t>
      </w:r>
    </w:p>
    <w:p>
      <w:pPr>
        <w:jc w:val="center"/>
      </w:pPr>
      <w:r>
        <w:drawing>
          <wp:inline xmlns:a="http://schemas.openxmlformats.org/drawingml/2006/main" xmlns:pic="http://schemas.openxmlformats.org/drawingml/2006/picture">
            <wp:extent cx="5760720" cy="2618509"/>
            <wp:docPr id="16" name="Picture 16"/>
            <wp:cNvGraphicFramePr>
              <a:graphicFrameLocks noChangeAspect="1"/>
            </wp:cNvGraphicFramePr>
            <a:graphic>
              <a:graphicData uri="http://schemas.openxmlformats.org/drawingml/2006/picture">
                <pic:pic>
                  <pic:nvPicPr>
                    <pic:cNvPr id="0" name="real_vs_expected_price_h21.png"/>
                    <pic:cNvPicPr/>
                  </pic:nvPicPr>
                  <pic:blipFill>
                    <a:blip r:embed="rId24"/>
                    <a:stretch>
                      <a:fillRect/>
                    </a:stretch>
                  </pic:blipFill>
                  <pic:spPr>
                    <a:xfrm>
                      <a:off x="0" y="0"/>
                      <a:ext cx="5760720" cy="2618509"/>
                    </a:xfrm>
                    <a:prstGeom prst="rect"/>
                  </pic:spPr>
                </pic:pic>
              </a:graphicData>
            </a:graphic>
          </wp:inline>
        </w:drawing>
      </w:r>
    </w:p>
    <w:p>
      <w:pPr>
        <w:jc w:val="center"/>
      </w:pPr>
      <w:r>
        <w:rPr>
          <w:i/>
          <w:sz w:val="18"/>
        </w:rPr>
        <w:t>Figura 16. Precio futuro real versus precio esperado h21.</w:t>
      </w:r>
    </w:p>
    <w:p>
      <w:pPr>
        <w:pStyle w:val="Heading1"/>
      </w:pPr>
      <w:r>
        <w:rPr>
          <w:rFonts w:ascii="Aptos Display" w:hAnsi="Aptos Display"/>
          <w:color w:val="1F4E79"/>
        </w:rPr>
        <w:t>10. Simulador de inversion</w:t>
      </w:r>
    </w:p>
    <w:p>
      <w:r>
        <w:t>El simulador es una validacion economica exploratoria. Parte de un capital inicial de 1.000.000 COP durante el periodo 2022-08-07 a 2025-04-29 y compara estrategias buy-and-hold, long/cash y long/short basadas en probabilidad de subida o retorno estimado. No debe presentarse como recomendacion financiera: no incluye todos los costos reales, impuestos, restricciones de liquidez o riesgo operativo. Su utilidad es comparar escenarios.</w:t>
      </w:r>
    </w:p>
    <w:p>
      <w:pPr>
        <w:jc w:val="center"/>
      </w:pPr>
      <w:r>
        <w:rPr>
          <w:b/>
          <w:sz w:val="20"/>
        </w:rPr>
        <w:t>Tabla 15. Resumen de estrategias de inversion simuladas</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1F4E79"/>
            <w:vAlign w:val="center"/>
          </w:tcPr>
          <w:p>
            <w:r/>
            <w:r>
              <w:rPr>
                <w:b/>
                <w:color w:val="FFFFFF"/>
                <w:sz w:val="14"/>
              </w:rPr>
              <w:t>Estrategia</w:t>
            </w:r>
          </w:p>
        </w:tc>
        <w:tc>
          <w:tcPr>
            <w:tcW w:type="dxa" w:w="1242"/>
            <w:shd w:fill="1F4E79"/>
            <w:vAlign w:val="center"/>
          </w:tcPr>
          <w:p>
            <w:r/>
            <w:r>
              <w:rPr>
                <w:b/>
                <w:color w:val="FFFFFF"/>
                <w:sz w:val="14"/>
              </w:rPr>
              <w:t>Capital inicial</w:t>
            </w:r>
          </w:p>
        </w:tc>
        <w:tc>
          <w:tcPr>
            <w:tcW w:type="dxa" w:w="1242"/>
            <w:shd w:fill="1F4E79"/>
            <w:vAlign w:val="center"/>
          </w:tcPr>
          <w:p>
            <w:r/>
            <w:r>
              <w:rPr>
                <w:b/>
                <w:color w:val="FFFFFF"/>
                <w:sz w:val="14"/>
              </w:rPr>
              <w:t>Capital final</w:t>
            </w:r>
          </w:p>
        </w:tc>
        <w:tc>
          <w:tcPr>
            <w:tcW w:type="dxa" w:w="1242"/>
            <w:shd w:fill="1F4E79"/>
            <w:vAlign w:val="center"/>
          </w:tcPr>
          <w:p>
            <w:r/>
            <w:r>
              <w:rPr>
                <w:b/>
                <w:color w:val="FFFFFF"/>
                <w:sz w:val="14"/>
              </w:rPr>
              <w:t>Retorno total</w:t>
            </w:r>
          </w:p>
        </w:tc>
        <w:tc>
          <w:tcPr>
            <w:tcW w:type="dxa" w:w="1242"/>
            <w:shd w:fill="1F4E79"/>
            <w:vAlign w:val="center"/>
          </w:tcPr>
          <w:p>
            <w:r/>
            <w:r>
              <w:rPr>
                <w:b/>
                <w:color w:val="FFFFFF"/>
                <w:sz w:val="14"/>
              </w:rPr>
              <w:t>CAGR</w:t>
            </w:r>
          </w:p>
        </w:tc>
        <w:tc>
          <w:tcPr>
            <w:tcW w:type="dxa" w:w="1242"/>
            <w:shd w:fill="1F4E79"/>
            <w:vAlign w:val="center"/>
          </w:tcPr>
          <w:p>
            <w:r/>
            <w:r>
              <w:rPr>
                <w:b/>
                <w:color w:val="FFFFFF"/>
                <w:sz w:val="14"/>
              </w:rPr>
              <w:t>Max drawdown</w:t>
            </w:r>
          </w:p>
        </w:tc>
        <w:tc>
          <w:tcPr>
            <w:tcW w:type="dxa" w:w="1242"/>
            <w:shd w:fill="1F4E79"/>
            <w:vAlign w:val="center"/>
          </w:tcPr>
          <w:p>
            <w:r/>
            <w:r>
              <w:rPr>
                <w:b/>
                <w:color w:val="FFFFFF"/>
                <w:sz w:val="14"/>
              </w:rPr>
              <w:t>Tiempo en mercado</w:t>
            </w:r>
          </w:p>
        </w:tc>
        <w:tc>
          <w:tcPr>
            <w:tcW w:type="dxa" w:w="1242"/>
            <w:shd w:fill="1F4E79"/>
            <w:vAlign w:val="center"/>
          </w:tcPr>
          <w:p>
            <w:r/>
            <w:r>
              <w:rPr>
                <w:b/>
                <w:color w:val="FFFFFF"/>
                <w:sz w:val="14"/>
              </w:rPr>
              <w:t>Cambios posicion</w:t>
            </w:r>
          </w:p>
        </w:tc>
      </w:tr>
      <w:tr>
        <w:tc>
          <w:tcPr>
            <w:tcW w:type="dxa" w:w="1242"/>
            <w:vAlign w:val="center"/>
          </w:tcPr>
          <w:p>
            <w:r/>
            <w:r>
              <w:rPr>
                <w:b w:val="0"/>
                <w:sz w:val="14"/>
              </w:rPr>
              <w:t>clf_daily_long_short</w:t>
            </w:r>
          </w:p>
        </w:tc>
        <w:tc>
          <w:tcPr>
            <w:tcW w:type="dxa" w:w="1242"/>
            <w:vAlign w:val="center"/>
          </w:tcPr>
          <w:p>
            <w:r/>
            <w:r>
              <w:rPr>
                <w:b w:val="0"/>
                <w:sz w:val="14"/>
              </w:rPr>
              <w:t>1.000.000</w:t>
            </w:r>
          </w:p>
        </w:tc>
        <w:tc>
          <w:tcPr>
            <w:tcW w:type="dxa" w:w="1242"/>
            <w:vAlign w:val="center"/>
          </w:tcPr>
          <w:p>
            <w:r/>
            <w:r>
              <w:rPr>
                <w:b w:val="0"/>
                <w:sz w:val="14"/>
              </w:rPr>
              <w:t>2.542.779</w:t>
            </w:r>
          </w:p>
        </w:tc>
        <w:tc>
          <w:tcPr>
            <w:tcW w:type="dxa" w:w="1242"/>
            <w:vAlign w:val="center"/>
          </w:tcPr>
          <w:p>
            <w:r/>
            <w:r>
              <w:rPr>
                <w:b w:val="0"/>
                <w:sz w:val="14"/>
              </w:rPr>
              <w:t>154.28 %</w:t>
            </w:r>
          </w:p>
        </w:tc>
        <w:tc>
          <w:tcPr>
            <w:tcW w:type="dxa" w:w="1242"/>
            <w:vAlign w:val="center"/>
          </w:tcPr>
          <w:p>
            <w:r/>
            <w:r>
              <w:rPr>
                <w:b w:val="0"/>
                <w:sz w:val="14"/>
              </w:rPr>
              <w:t>40.81 %</w:t>
            </w:r>
          </w:p>
        </w:tc>
        <w:tc>
          <w:tcPr>
            <w:tcW w:type="dxa" w:w="1242"/>
            <w:vAlign w:val="center"/>
          </w:tcPr>
          <w:p>
            <w:r/>
            <w:r>
              <w:rPr>
                <w:b w:val="0"/>
                <w:sz w:val="14"/>
              </w:rPr>
              <w:t>-0.20 %</w:t>
            </w:r>
          </w:p>
        </w:tc>
        <w:tc>
          <w:tcPr>
            <w:tcW w:type="dxa" w:w="1242"/>
            <w:vAlign w:val="center"/>
          </w:tcPr>
          <w:p>
            <w:r/>
            <w:r>
              <w:rPr>
                <w:b w:val="0"/>
                <w:sz w:val="14"/>
              </w:rPr>
              <w:t>100.00 %</w:t>
            </w:r>
          </w:p>
        </w:tc>
        <w:tc>
          <w:tcPr>
            <w:tcW w:type="dxa" w:w="1242"/>
            <w:vAlign w:val="center"/>
          </w:tcPr>
          <w:p>
            <w:r/>
            <w:r>
              <w:rPr>
                <w:b w:val="0"/>
                <w:sz w:val="14"/>
              </w:rPr>
              <w:t>74</w:t>
            </w:r>
          </w:p>
        </w:tc>
      </w:tr>
      <w:tr>
        <w:tc>
          <w:tcPr>
            <w:tcW w:type="dxa" w:w="1242"/>
            <w:vAlign w:val="center"/>
          </w:tcPr>
          <w:p>
            <w:r/>
            <w:r>
              <w:rPr>
                <w:b w:val="0"/>
                <w:sz w:val="14"/>
              </w:rPr>
              <w:t>predret_long_short</w:t>
            </w:r>
          </w:p>
        </w:tc>
        <w:tc>
          <w:tcPr>
            <w:tcW w:type="dxa" w:w="1242"/>
            <w:vAlign w:val="center"/>
          </w:tcPr>
          <w:p>
            <w:r/>
            <w:r>
              <w:rPr>
                <w:b w:val="0"/>
                <w:sz w:val="14"/>
              </w:rPr>
              <w:t>1.000.000</w:t>
            </w:r>
          </w:p>
        </w:tc>
        <w:tc>
          <w:tcPr>
            <w:tcW w:type="dxa" w:w="1242"/>
            <w:vAlign w:val="center"/>
          </w:tcPr>
          <w:p>
            <w:r/>
            <w:r>
              <w:rPr>
                <w:b w:val="0"/>
                <w:sz w:val="14"/>
              </w:rPr>
              <w:t>2.530.903</w:t>
            </w:r>
          </w:p>
        </w:tc>
        <w:tc>
          <w:tcPr>
            <w:tcW w:type="dxa" w:w="1242"/>
            <w:vAlign w:val="center"/>
          </w:tcPr>
          <w:p>
            <w:r/>
            <w:r>
              <w:rPr>
                <w:b w:val="0"/>
                <w:sz w:val="14"/>
              </w:rPr>
              <w:t>153.09 %</w:t>
            </w:r>
          </w:p>
        </w:tc>
        <w:tc>
          <w:tcPr>
            <w:tcW w:type="dxa" w:w="1242"/>
            <w:vAlign w:val="center"/>
          </w:tcPr>
          <w:p>
            <w:r/>
            <w:r>
              <w:rPr>
                <w:b w:val="0"/>
                <w:sz w:val="14"/>
              </w:rPr>
              <w:t>40.57 %</w:t>
            </w:r>
          </w:p>
        </w:tc>
        <w:tc>
          <w:tcPr>
            <w:tcW w:type="dxa" w:w="1242"/>
            <w:vAlign w:val="center"/>
          </w:tcPr>
          <w:p>
            <w:r/>
            <w:r>
              <w:rPr>
                <w:b w:val="0"/>
                <w:sz w:val="14"/>
              </w:rPr>
              <w:t>-0.23 %</w:t>
            </w:r>
          </w:p>
        </w:tc>
        <w:tc>
          <w:tcPr>
            <w:tcW w:type="dxa" w:w="1242"/>
            <w:vAlign w:val="center"/>
          </w:tcPr>
          <w:p>
            <w:r/>
            <w:r>
              <w:rPr>
                <w:b w:val="0"/>
                <w:sz w:val="14"/>
              </w:rPr>
              <w:t>100.00 %</w:t>
            </w:r>
          </w:p>
        </w:tc>
        <w:tc>
          <w:tcPr>
            <w:tcW w:type="dxa" w:w="1242"/>
            <w:vAlign w:val="center"/>
          </w:tcPr>
          <w:p>
            <w:r/>
            <w:r>
              <w:rPr>
                <w:b w:val="0"/>
                <w:sz w:val="14"/>
              </w:rPr>
              <w:t>45</w:t>
            </w:r>
          </w:p>
        </w:tc>
      </w:tr>
      <w:tr>
        <w:tc>
          <w:tcPr>
            <w:tcW w:type="dxa" w:w="1242"/>
            <w:vAlign w:val="center"/>
          </w:tcPr>
          <w:p>
            <w:r/>
            <w:r>
              <w:rPr>
                <w:b w:val="0"/>
                <w:sz w:val="14"/>
              </w:rPr>
              <w:t>h21_long_short</w:t>
            </w:r>
          </w:p>
        </w:tc>
        <w:tc>
          <w:tcPr>
            <w:tcW w:type="dxa" w:w="1242"/>
            <w:vAlign w:val="center"/>
          </w:tcPr>
          <w:p>
            <w:r/>
            <w:r>
              <w:rPr>
                <w:b w:val="0"/>
                <w:sz w:val="14"/>
              </w:rPr>
              <w:t>1.000.000</w:t>
            </w:r>
          </w:p>
        </w:tc>
        <w:tc>
          <w:tcPr>
            <w:tcW w:type="dxa" w:w="1242"/>
            <w:vAlign w:val="center"/>
          </w:tcPr>
          <w:p>
            <w:r/>
            <w:r>
              <w:rPr>
                <w:b w:val="0"/>
                <w:sz w:val="14"/>
              </w:rPr>
              <w:t>2.427.363</w:t>
            </w:r>
          </w:p>
        </w:tc>
        <w:tc>
          <w:tcPr>
            <w:tcW w:type="dxa" w:w="1242"/>
            <w:vAlign w:val="center"/>
          </w:tcPr>
          <w:p>
            <w:r/>
            <w:r>
              <w:rPr>
                <w:b w:val="0"/>
                <w:sz w:val="14"/>
              </w:rPr>
              <w:t>142.74 %</w:t>
            </w:r>
          </w:p>
        </w:tc>
        <w:tc>
          <w:tcPr>
            <w:tcW w:type="dxa" w:w="1242"/>
            <w:vAlign w:val="center"/>
          </w:tcPr>
          <w:p>
            <w:r/>
            <w:r>
              <w:rPr>
                <w:b w:val="0"/>
                <w:sz w:val="14"/>
              </w:rPr>
              <w:t>38.43 %</w:t>
            </w:r>
          </w:p>
        </w:tc>
        <w:tc>
          <w:tcPr>
            <w:tcW w:type="dxa" w:w="1242"/>
            <w:vAlign w:val="center"/>
          </w:tcPr>
          <w:p>
            <w:r/>
            <w:r>
              <w:rPr>
                <w:b w:val="0"/>
                <w:sz w:val="14"/>
              </w:rPr>
              <w:t>-2.32 %</w:t>
            </w:r>
          </w:p>
        </w:tc>
        <w:tc>
          <w:tcPr>
            <w:tcW w:type="dxa" w:w="1242"/>
            <w:vAlign w:val="center"/>
          </w:tcPr>
          <w:p>
            <w:r/>
            <w:r>
              <w:rPr>
                <w:b w:val="0"/>
                <w:sz w:val="14"/>
              </w:rPr>
              <w:t>100.00 %</w:t>
            </w:r>
          </w:p>
        </w:tc>
        <w:tc>
          <w:tcPr>
            <w:tcW w:type="dxa" w:w="1242"/>
            <w:vAlign w:val="center"/>
          </w:tcPr>
          <w:p>
            <w:r/>
            <w:r>
              <w:rPr>
                <w:b w:val="0"/>
                <w:sz w:val="14"/>
              </w:rPr>
              <w:t>26</w:t>
            </w:r>
          </w:p>
        </w:tc>
      </w:tr>
      <w:tr>
        <w:tc>
          <w:tcPr>
            <w:tcW w:type="dxa" w:w="1242"/>
            <w:vAlign w:val="center"/>
          </w:tcPr>
          <w:p>
            <w:r/>
            <w:r>
              <w:rPr>
                <w:b w:val="0"/>
                <w:sz w:val="14"/>
              </w:rPr>
              <w:t>clf_daily_long_cash</w:t>
            </w:r>
          </w:p>
        </w:tc>
        <w:tc>
          <w:tcPr>
            <w:tcW w:type="dxa" w:w="1242"/>
            <w:vAlign w:val="center"/>
          </w:tcPr>
          <w:p>
            <w:r/>
            <w:r>
              <w:rPr>
                <w:b w:val="0"/>
                <w:sz w:val="14"/>
              </w:rPr>
              <w:t>1.000.000</w:t>
            </w:r>
          </w:p>
        </w:tc>
        <w:tc>
          <w:tcPr>
            <w:tcW w:type="dxa" w:w="1242"/>
            <w:vAlign w:val="center"/>
          </w:tcPr>
          <w:p>
            <w:r/>
            <w:r>
              <w:rPr>
                <w:b w:val="0"/>
                <w:sz w:val="14"/>
              </w:rPr>
              <w:t>2.171.661</w:t>
            </w:r>
          </w:p>
        </w:tc>
        <w:tc>
          <w:tcPr>
            <w:tcW w:type="dxa" w:w="1242"/>
            <w:vAlign w:val="center"/>
          </w:tcPr>
          <w:p>
            <w:r/>
            <w:r>
              <w:rPr>
                <w:b w:val="0"/>
                <w:sz w:val="14"/>
              </w:rPr>
              <w:t>117.17 %</w:t>
            </w:r>
          </w:p>
        </w:tc>
        <w:tc>
          <w:tcPr>
            <w:tcW w:type="dxa" w:w="1242"/>
            <w:vAlign w:val="center"/>
          </w:tcPr>
          <w:p>
            <w:r/>
            <w:r>
              <w:rPr>
                <w:b w:val="0"/>
                <w:sz w:val="14"/>
              </w:rPr>
              <w:t>32.89 %</w:t>
            </w:r>
          </w:p>
        </w:tc>
        <w:tc>
          <w:tcPr>
            <w:tcW w:type="dxa" w:w="1242"/>
            <w:vAlign w:val="center"/>
          </w:tcPr>
          <w:p>
            <w:r/>
            <w:r>
              <w:rPr>
                <w:b w:val="0"/>
                <w:sz w:val="14"/>
              </w:rPr>
              <w:t>-0.20 %</w:t>
            </w:r>
          </w:p>
        </w:tc>
        <w:tc>
          <w:tcPr>
            <w:tcW w:type="dxa" w:w="1242"/>
            <w:vAlign w:val="center"/>
          </w:tcPr>
          <w:p>
            <w:r/>
            <w:r>
              <w:rPr>
                <w:b w:val="0"/>
                <w:sz w:val="14"/>
              </w:rPr>
              <w:t>47.34 %</w:t>
            </w:r>
          </w:p>
        </w:tc>
        <w:tc>
          <w:tcPr>
            <w:tcW w:type="dxa" w:w="1242"/>
            <w:vAlign w:val="center"/>
          </w:tcPr>
          <w:p>
            <w:r/>
            <w:r>
              <w:rPr>
                <w:b w:val="0"/>
                <w:sz w:val="14"/>
              </w:rPr>
              <w:t>73</w:t>
            </w:r>
          </w:p>
        </w:tc>
      </w:tr>
      <w:tr>
        <w:tc>
          <w:tcPr>
            <w:tcW w:type="dxa" w:w="1242"/>
            <w:vAlign w:val="center"/>
          </w:tcPr>
          <w:p>
            <w:r/>
            <w:r>
              <w:rPr>
                <w:b w:val="0"/>
                <w:sz w:val="14"/>
              </w:rPr>
              <w:t>predret_long_cash</w:t>
            </w:r>
          </w:p>
        </w:tc>
        <w:tc>
          <w:tcPr>
            <w:tcW w:type="dxa" w:w="1242"/>
            <w:vAlign w:val="center"/>
          </w:tcPr>
          <w:p>
            <w:r/>
            <w:r>
              <w:rPr>
                <w:b w:val="0"/>
                <w:sz w:val="14"/>
              </w:rPr>
              <w:t>1.000.000</w:t>
            </w:r>
          </w:p>
        </w:tc>
        <w:tc>
          <w:tcPr>
            <w:tcW w:type="dxa" w:w="1242"/>
            <w:vAlign w:val="center"/>
          </w:tcPr>
          <w:p>
            <w:r/>
            <w:r>
              <w:rPr>
                <w:b w:val="0"/>
                <w:sz w:val="14"/>
              </w:rPr>
              <w:t>2.166.589</w:t>
            </w:r>
          </w:p>
        </w:tc>
        <w:tc>
          <w:tcPr>
            <w:tcW w:type="dxa" w:w="1242"/>
            <w:vAlign w:val="center"/>
          </w:tcPr>
          <w:p>
            <w:r/>
            <w:r>
              <w:rPr>
                <w:b w:val="0"/>
                <w:sz w:val="14"/>
              </w:rPr>
              <w:t>116.66 %</w:t>
            </w:r>
          </w:p>
        </w:tc>
        <w:tc>
          <w:tcPr>
            <w:tcW w:type="dxa" w:w="1242"/>
            <w:vAlign w:val="center"/>
          </w:tcPr>
          <w:p>
            <w:r/>
            <w:r>
              <w:rPr>
                <w:b w:val="0"/>
                <w:sz w:val="14"/>
              </w:rPr>
              <w:t>32.78 %</w:t>
            </w:r>
          </w:p>
        </w:tc>
        <w:tc>
          <w:tcPr>
            <w:tcW w:type="dxa" w:w="1242"/>
            <w:vAlign w:val="center"/>
          </w:tcPr>
          <w:p>
            <w:r/>
            <w:r>
              <w:rPr>
                <w:b w:val="0"/>
                <w:sz w:val="14"/>
              </w:rPr>
              <w:t>-0.20 %</w:t>
            </w:r>
          </w:p>
        </w:tc>
        <w:tc>
          <w:tcPr>
            <w:tcW w:type="dxa" w:w="1242"/>
            <w:vAlign w:val="center"/>
          </w:tcPr>
          <w:p>
            <w:r/>
            <w:r>
              <w:rPr>
                <w:b w:val="0"/>
                <w:sz w:val="14"/>
              </w:rPr>
              <w:t>68.71 %</w:t>
            </w:r>
          </w:p>
        </w:tc>
        <w:tc>
          <w:tcPr>
            <w:tcW w:type="dxa" w:w="1242"/>
            <w:vAlign w:val="center"/>
          </w:tcPr>
          <w:p>
            <w:r/>
            <w:r>
              <w:rPr>
                <w:b w:val="0"/>
                <w:sz w:val="14"/>
              </w:rPr>
              <w:t>45</w:t>
            </w:r>
          </w:p>
        </w:tc>
      </w:tr>
      <w:tr>
        <w:tc>
          <w:tcPr>
            <w:tcW w:type="dxa" w:w="1242"/>
            <w:vAlign w:val="center"/>
          </w:tcPr>
          <w:p>
            <w:r/>
            <w:r>
              <w:rPr>
                <w:b w:val="0"/>
                <w:sz w:val="14"/>
              </w:rPr>
              <w:t>h21_long_cash</w:t>
            </w:r>
          </w:p>
        </w:tc>
        <w:tc>
          <w:tcPr>
            <w:tcW w:type="dxa" w:w="1242"/>
            <w:vAlign w:val="center"/>
          </w:tcPr>
          <w:p>
            <w:r/>
            <w:r>
              <w:rPr>
                <w:b w:val="0"/>
                <w:sz w:val="14"/>
              </w:rPr>
              <w:t>1.000.000</w:t>
            </w:r>
          </w:p>
        </w:tc>
        <w:tc>
          <w:tcPr>
            <w:tcW w:type="dxa" w:w="1242"/>
            <w:vAlign w:val="center"/>
          </w:tcPr>
          <w:p>
            <w:r/>
            <w:r>
              <w:rPr>
                <w:b w:val="0"/>
                <w:sz w:val="14"/>
              </w:rPr>
              <w:t>2.121.230</w:t>
            </w:r>
          </w:p>
        </w:tc>
        <w:tc>
          <w:tcPr>
            <w:tcW w:type="dxa" w:w="1242"/>
            <w:vAlign w:val="center"/>
          </w:tcPr>
          <w:p>
            <w:r/>
            <w:r>
              <w:rPr>
                <w:b w:val="0"/>
                <w:sz w:val="14"/>
              </w:rPr>
              <w:t>112.12 %</w:t>
            </w:r>
          </w:p>
        </w:tc>
        <w:tc>
          <w:tcPr>
            <w:tcW w:type="dxa" w:w="1242"/>
            <w:vAlign w:val="center"/>
          </w:tcPr>
          <w:p>
            <w:r/>
            <w:r>
              <w:rPr>
                <w:b w:val="0"/>
                <w:sz w:val="14"/>
              </w:rPr>
              <w:t>31.75 %</w:t>
            </w:r>
          </w:p>
        </w:tc>
        <w:tc>
          <w:tcPr>
            <w:tcW w:type="dxa" w:w="1242"/>
            <w:vAlign w:val="center"/>
          </w:tcPr>
          <w:p>
            <w:r/>
            <w:r>
              <w:rPr>
                <w:b w:val="0"/>
                <w:sz w:val="14"/>
              </w:rPr>
              <w:t>-2.32 %</w:t>
            </w:r>
          </w:p>
        </w:tc>
        <w:tc>
          <w:tcPr>
            <w:tcW w:type="dxa" w:w="1242"/>
            <w:vAlign w:val="center"/>
          </w:tcPr>
          <w:p>
            <w:r/>
            <w:r>
              <w:rPr>
                <w:b w:val="0"/>
                <w:sz w:val="14"/>
              </w:rPr>
              <w:t>47.34 %</w:t>
            </w:r>
          </w:p>
        </w:tc>
        <w:tc>
          <w:tcPr>
            <w:tcW w:type="dxa" w:w="1242"/>
            <w:vAlign w:val="center"/>
          </w:tcPr>
          <w:p>
            <w:r/>
            <w:r>
              <w:rPr>
                <w:b w:val="0"/>
                <w:sz w:val="14"/>
              </w:rPr>
              <w:t>25</w:t>
            </w:r>
          </w:p>
        </w:tc>
      </w:tr>
      <w:tr>
        <w:tc>
          <w:tcPr>
            <w:tcW w:type="dxa" w:w="1242"/>
            <w:vAlign w:val="center"/>
          </w:tcPr>
          <w:p>
            <w:r/>
            <w:r>
              <w:rPr>
                <w:b w:val="0"/>
                <w:sz w:val="14"/>
              </w:rPr>
              <w:t>hysteresis_60_35</w:t>
            </w:r>
          </w:p>
        </w:tc>
        <w:tc>
          <w:tcPr>
            <w:tcW w:type="dxa" w:w="1242"/>
            <w:vAlign w:val="center"/>
          </w:tcPr>
          <w:p>
            <w:r/>
            <w:r>
              <w:rPr>
                <w:b w:val="0"/>
                <w:sz w:val="14"/>
              </w:rPr>
              <w:t>1.000.000</w:t>
            </w:r>
          </w:p>
        </w:tc>
        <w:tc>
          <w:tcPr>
            <w:tcW w:type="dxa" w:w="1242"/>
            <w:vAlign w:val="center"/>
          </w:tcPr>
          <w:p>
            <w:r/>
            <w:r>
              <w:rPr>
                <w:b w:val="0"/>
                <w:sz w:val="14"/>
              </w:rPr>
              <w:t>1.957.095</w:t>
            </w:r>
          </w:p>
        </w:tc>
        <w:tc>
          <w:tcPr>
            <w:tcW w:type="dxa" w:w="1242"/>
            <w:vAlign w:val="center"/>
          </w:tcPr>
          <w:p>
            <w:r/>
            <w:r>
              <w:rPr>
                <w:b w:val="0"/>
                <w:sz w:val="14"/>
              </w:rPr>
              <w:t>95.71 %</w:t>
            </w:r>
          </w:p>
        </w:tc>
        <w:tc>
          <w:tcPr>
            <w:tcW w:type="dxa" w:w="1242"/>
            <w:vAlign w:val="center"/>
          </w:tcPr>
          <w:p>
            <w:r/>
            <w:r>
              <w:rPr>
                <w:b w:val="0"/>
                <w:sz w:val="14"/>
              </w:rPr>
              <w:t>27.92 %</w:t>
            </w:r>
          </w:p>
        </w:tc>
        <w:tc>
          <w:tcPr>
            <w:tcW w:type="dxa" w:w="1242"/>
            <w:vAlign w:val="center"/>
          </w:tcPr>
          <w:p>
            <w:r/>
            <w:r>
              <w:rPr>
                <w:b w:val="0"/>
                <w:sz w:val="14"/>
              </w:rPr>
              <w:t>-0.20 %</w:t>
            </w:r>
          </w:p>
        </w:tc>
        <w:tc>
          <w:tcPr>
            <w:tcW w:type="dxa" w:w="1242"/>
            <w:vAlign w:val="center"/>
          </w:tcPr>
          <w:p>
            <w:r/>
            <w:r>
              <w:rPr>
                <w:b w:val="0"/>
                <w:sz w:val="14"/>
              </w:rPr>
              <w:t>34.70 %</w:t>
            </w:r>
          </w:p>
        </w:tc>
        <w:tc>
          <w:tcPr>
            <w:tcW w:type="dxa" w:w="1242"/>
            <w:vAlign w:val="center"/>
          </w:tcPr>
          <w:p>
            <w:r/>
            <w:r>
              <w:rPr>
                <w:b w:val="0"/>
                <w:sz w:val="14"/>
              </w:rPr>
              <w:t>52</w:t>
            </w:r>
          </w:p>
        </w:tc>
      </w:tr>
      <w:tr>
        <w:tc>
          <w:tcPr>
            <w:tcW w:type="dxa" w:w="1242"/>
            <w:vAlign w:val="center"/>
          </w:tcPr>
          <w:p>
            <w:r/>
            <w:r>
              <w:rPr>
                <w:b w:val="0"/>
                <w:sz w:val="14"/>
              </w:rPr>
              <w:t>buy_hold</w:t>
            </w:r>
          </w:p>
        </w:tc>
        <w:tc>
          <w:tcPr>
            <w:tcW w:type="dxa" w:w="1242"/>
            <w:vAlign w:val="center"/>
          </w:tcPr>
          <w:p>
            <w:r/>
            <w:r>
              <w:rPr>
                <w:b w:val="0"/>
                <w:sz w:val="14"/>
              </w:rPr>
              <w:t>1.000.000</w:t>
            </w:r>
          </w:p>
        </w:tc>
        <w:tc>
          <w:tcPr>
            <w:tcW w:type="dxa" w:w="1242"/>
            <w:vAlign w:val="center"/>
          </w:tcPr>
          <w:p>
            <w:r/>
            <w:r>
              <w:rPr>
                <w:b w:val="0"/>
                <w:sz w:val="14"/>
              </w:rPr>
              <w:t>1.847.233</w:t>
            </w:r>
          </w:p>
        </w:tc>
        <w:tc>
          <w:tcPr>
            <w:tcW w:type="dxa" w:w="1242"/>
            <w:vAlign w:val="center"/>
          </w:tcPr>
          <w:p>
            <w:r/>
            <w:r>
              <w:rPr>
                <w:b w:val="0"/>
                <w:sz w:val="14"/>
              </w:rPr>
              <w:t>84.72 %</w:t>
            </w:r>
          </w:p>
        </w:tc>
        <w:tc>
          <w:tcPr>
            <w:tcW w:type="dxa" w:w="1242"/>
            <w:vAlign w:val="center"/>
          </w:tcPr>
          <w:p>
            <w:r/>
            <w:r>
              <w:rPr>
                <w:b w:val="0"/>
                <w:sz w:val="14"/>
              </w:rPr>
              <w:t>25.24 %</w:t>
            </w:r>
          </w:p>
        </w:tc>
        <w:tc>
          <w:tcPr>
            <w:tcW w:type="dxa" w:w="1242"/>
            <w:vAlign w:val="center"/>
          </w:tcPr>
          <w:p>
            <w:r/>
            <w:r>
              <w:rPr>
                <w:b w:val="0"/>
                <w:sz w:val="14"/>
              </w:rPr>
              <w:t>-5.73 %</w:t>
            </w:r>
          </w:p>
        </w:tc>
        <w:tc>
          <w:tcPr>
            <w:tcW w:type="dxa" w:w="1242"/>
            <w:vAlign w:val="center"/>
          </w:tcPr>
          <w:p>
            <w:r/>
            <w:r>
              <w:rPr>
                <w:b w:val="0"/>
                <w:sz w:val="14"/>
              </w:rPr>
              <w:t>100.00 %</w:t>
            </w:r>
          </w:p>
        </w:tc>
        <w:tc>
          <w:tcPr>
            <w:tcW w:type="dxa" w:w="1242"/>
            <w:vAlign w:val="center"/>
          </w:tcPr>
          <w:p>
            <w:r/>
            <w:r>
              <w:rPr>
                <w:b w:val="0"/>
                <w:sz w:val="14"/>
              </w:rPr>
              <w:t>1</w:t>
            </w:r>
          </w:p>
        </w:tc>
      </w:tr>
    </w:tbl>
    <w:p/>
    <w:p>
      <w:pPr>
        <w:jc w:val="center"/>
      </w:pPr>
      <w:r>
        <w:drawing>
          <wp:inline xmlns:a="http://schemas.openxmlformats.org/drawingml/2006/main" xmlns:pic="http://schemas.openxmlformats.org/drawingml/2006/picture">
            <wp:extent cx="5760720" cy="2618509"/>
            <wp:docPr id="17" name="Picture 17"/>
            <wp:cNvGraphicFramePr>
              <a:graphicFrameLocks noChangeAspect="1"/>
            </wp:cNvGraphicFramePr>
            <a:graphic>
              <a:graphicData uri="http://schemas.openxmlformats.org/drawingml/2006/picture">
                <pic:pic>
                  <pic:nvPicPr>
                    <pic:cNvPr id="0" name="strategy_capital_curves.png"/>
                    <pic:cNvPicPr/>
                  </pic:nvPicPr>
                  <pic:blipFill>
                    <a:blip r:embed="rId25"/>
                    <a:stretch>
                      <a:fillRect/>
                    </a:stretch>
                  </pic:blipFill>
                  <pic:spPr>
                    <a:xfrm>
                      <a:off x="0" y="0"/>
                      <a:ext cx="5760720" cy="2618509"/>
                    </a:xfrm>
                    <a:prstGeom prst="rect"/>
                  </pic:spPr>
                </pic:pic>
              </a:graphicData>
            </a:graphic>
          </wp:inline>
        </w:drawing>
      </w:r>
    </w:p>
    <w:p>
      <w:pPr>
        <w:jc w:val="center"/>
      </w:pPr>
      <w:r>
        <w:rPr>
          <w:i/>
          <w:sz w:val="18"/>
        </w:rPr>
        <w:t>Figura 17. Curvas de capital de estrategias simuladas.</w:t>
      </w:r>
    </w:p>
    <w:p>
      <w:pPr>
        <w:jc w:val="center"/>
      </w:pPr>
      <w:r>
        <w:rPr>
          <w:b/>
          <w:sz w:val="20"/>
        </w:rPr>
        <w:t>Tabla 16. Estrategias por regimen de mercado</w:t>
      </w:r>
    </w:p>
    <w:tbl>
      <w:tblPr>
        <w:tblStyle w:val="TableGrid"/>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shd w:fill="1F4E79"/>
            <w:vAlign w:val="center"/>
          </w:tcPr>
          <w:p>
            <w:r/>
            <w:r>
              <w:rPr>
                <w:b/>
                <w:color w:val="FFFFFF"/>
                <w:sz w:val="14"/>
              </w:rPr>
              <w:t>regimen_mercado</w:t>
            </w:r>
          </w:p>
        </w:tc>
        <w:tc>
          <w:tcPr>
            <w:tcW w:type="dxa" w:w="903"/>
            <w:shd w:fill="1F4E79"/>
            <w:vAlign w:val="center"/>
          </w:tcPr>
          <w:p>
            <w:r/>
            <w:r>
              <w:rPr>
                <w:b/>
                <w:color w:val="FFFFFF"/>
                <w:sz w:val="14"/>
              </w:rPr>
              <w:t>n_periodos</w:t>
            </w:r>
          </w:p>
        </w:tc>
        <w:tc>
          <w:tcPr>
            <w:tcW w:type="dxa" w:w="903"/>
            <w:shd w:fill="1F4E79"/>
            <w:vAlign w:val="center"/>
          </w:tcPr>
          <w:p>
            <w:r/>
            <w:r>
              <w:rPr>
                <w:b/>
                <w:color w:val="FFFFFF"/>
                <w:sz w:val="14"/>
              </w:rPr>
              <w:t>oro_buyhold_return</w:t>
            </w:r>
          </w:p>
        </w:tc>
        <w:tc>
          <w:tcPr>
            <w:tcW w:type="dxa" w:w="903"/>
            <w:shd w:fill="1F4E79"/>
            <w:vAlign w:val="center"/>
          </w:tcPr>
          <w:p>
            <w:r/>
            <w:r>
              <w:rPr>
                <w:b/>
                <w:color w:val="FFFFFF"/>
                <w:sz w:val="14"/>
              </w:rPr>
              <w:t>buy_hold</w:t>
            </w:r>
          </w:p>
        </w:tc>
        <w:tc>
          <w:tcPr>
            <w:tcW w:type="dxa" w:w="903"/>
            <w:shd w:fill="1F4E79"/>
            <w:vAlign w:val="center"/>
          </w:tcPr>
          <w:p>
            <w:r/>
            <w:r>
              <w:rPr>
                <w:b/>
                <w:color w:val="FFFFFF"/>
                <w:sz w:val="14"/>
              </w:rPr>
              <w:t>h21_long_cash</w:t>
            </w:r>
          </w:p>
        </w:tc>
        <w:tc>
          <w:tcPr>
            <w:tcW w:type="dxa" w:w="903"/>
            <w:shd w:fill="1F4E79"/>
            <w:vAlign w:val="center"/>
          </w:tcPr>
          <w:p>
            <w:r/>
            <w:r>
              <w:rPr>
                <w:b/>
                <w:color w:val="FFFFFF"/>
                <w:sz w:val="14"/>
              </w:rPr>
              <w:t>clf_daily_long_cash</w:t>
            </w:r>
          </w:p>
        </w:tc>
        <w:tc>
          <w:tcPr>
            <w:tcW w:type="dxa" w:w="903"/>
            <w:shd w:fill="1F4E79"/>
            <w:vAlign w:val="center"/>
          </w:tcPr>
          <w:p>
            <w:r/>
            <w:r>
              <w:rPr>
                <w:b/>
                <w:color w:val="FFFFFF"/>
                <w:sz w:val="14"/>
              </w:rPr>
              <w:t>hysteresis_60_35</w:t>
            </w:r>
          </w:p>
        </w:tc>
        <w:tc>
          <w:tcPr>
            <w:tcW w:type="dxa" w:w="903"/>
            <w:shd w:fill="1F4E79"/>
            <w:vAlign w:val="center"/>
          </w:tcPr>
          <w:p>
            <w:r/>
            <w:r>
              <w:rPr>
                <w:b/>
                <w:color w:val="FFFFFF"/>
                <w:sz w:val="14"/>
              </w:rPr>
              <w:t>predret_long_cash</w:t>
            </w:r>
          </w:p>
        </w:tc>
        <w:tc>
          <w:tcPr>
            <w:tcW w:type="dxa" w:w="903"/>
            <w:shd w:fill="1F4E79"/>
            <w:vAlign w:val="center"/>
          </w:tcPr>
          <w:p>
            <w:r/>
            <w:r>
              <w:rPr>
                <w:b/>
                <w:color w:val="FFFFFF"/>
                <w:sz w:val="14"/>
              </w:rPr>
              <w:t>h21_long_short</w:t>
            </w:r>
          </w:p>
        </w:tc>
        <w:tc>
          <w:tcPr>
            <w:tcW w:type="dxa" w:w="903"/>
            <w:shd w:fill="1F4E79"/>
            <w:vAlign w:val="center"/>
          </w:tcPr>
          <w:p>
            <w:r/>
            <w:r>
              <w:rPr>
                <w:b/>
                <w:color w:val="FFFFFF"/>
                <w:sz w:val="14"/>
              </w:rPr>
              <w:t>clf_daily_long_short</w:t>
            </w:r>
          </w:p>
        </w:tc>
        <w:tc>
          <w:tcPr>
            <w:tcW w:type="dxa" w:w="903"/>
            <w:shd w:fill="1F4E79"/>
            <w:vAlign w:val="center"/>
          </w:tcPr>
          <w:p>
            <w:r/>
            <w:r>
              <w:rPr>
                <w:b/>
                <w:color w:val="FFFFFF"/>
                <w:sz w:val="14"/>
              </w:rPr>
              <w:t>predret_long_short</w:t>
            </w:r>
          </w:p>
        </w:tc>
      </w:tr>
      <w:tr>
        <w:tc>
          <w:tcPr>
            <w:tcW w:type="dxa" w:w="903"/>
            <w:vAlign w:val="center"/>
          </w:tcPr>
          <w:p>
            <w:r/>
            <w:r>
              <w:rPr>
                <w:b w:val="0"/>
                <w:sz w:val="14"/>
              </w:rPr>
              <w:t>alcista_fuerte</w:t>
            </w:r>
          </w:p>
        </w:tc>
        <w:tc>
          <w:tcPr>
            <w:tcW w:type="dxa" w:w="903"/>
            <w:vAlign w:val="center"/>
          </w:tcPr>
          <w:p>
            <w:r/>
            <w:r>
              <w:rPr>
                <w:b w:val="0"/>
                <w:sz w:val="14"/>
              </w:rPr>
              <w:t>3</w:t>
            </w:r>
          </w:p>
        </w:tc>
        <w:tc>
          <w:tcPr>
            <w:tcW w:type="dxa" w:w="903"/>
            <w:vAlign w:val="center"/>
          </w:tcPr>
          <w:p>
            <w:r/>
            <w:r>
              <w:rPr>
                <w:b w:val="0"/>
                <w:sz w:val="14"/>
              </w:rPr>
              <w:t>16.42 %</w:t>
            </w:r>
          </w:p>
        </w:tc>
        <w:tc>
          <w:tcPr>
            <w:tcW w:type="dxa" w:w="903"/>
            <w:vAlign w:val="center"/>
          </w:tcPr>
          <w:p>
            <w:r/>
            <w:r>
              <w:rPr>
                <w:b w:val="0"/>
                <w:sz w:val="14"/>
              </w:rPr>
              <w:t>16.42 %</w:t>
            </w:r>
          </w:p>
        </w:tc>
        <w:tc>
          <w:tcPr>
            <w:tcW w:type="dxa" w:w="903"/>
            <w:vAlign w:val="center"/>
          </w:tcPr>
          <w:p>
            <w:r/>
            <w:r>
              <w:rPr>
                <w:b w:val="0"/>
                <w:sz w:val="14"/>
              </w:rPr>
              <w:t>17.72 %</w:t>
            </w:r>
          </w:p>
        </w:tc>
        <w:tc>
          <w:tcPr>
            <w:tcW w:type="dxa" w:w="903"/>
            <w:vAlign w:val="center"/>
          </w:tcPr>
          <w:p>
            <w:r/>
            <w:r>
              <w:rPr>
                <w:b w:val="0"/>
                <w:sz w:val="14"/>
              </w:rPr>
              <w:t>17.72 %</w:t>
            </w:r>
          </w:p>
        </w:tc>
        <w:tc>
          <w:tcPr>
            <w:tcW w:type="dxa" w:w="903"/>
            <w:vAlign w:val="center"/>
          </w:tcPr>
          <w:p>
            <w:r/>
            <w:r>
              <w:rPr>
                <w:b w:val="0"/>
                <w:sz w:val="14"/>
              </w:rPr>
              <w:t>13.82 %</w:t>
            </w:r>
          </w:p>
        </w:tc>
        <w:tc>
          <w:tcPr>
            <w:tcW w:type="dxa" w:w="903"/>
            <w:vAlign w:val="center"/>
          </w:tcPr>
          <w:p>
            <w:r/>
            <w:r>
              <w:rPr>
                <w:b w:val="0"/>
                <w:sz w:val="14"/>
              </w:rPr>
              <w:t>17.72 %</w:t>
            </w:r>
          </w:p>
        </w:tc>
        <w:tc>
          <w:tcPr>
            <w:tcW w:type="dxa" w:w="903"/>
            <w:vAlign w:val="center"/>
          </w:tcPr>
          <w:p>
            <w:r/>
            <w:r>
              <w:rPr>
                <w:b w:val="0"/>
                <w:sz w:val="14"/>
              </w:rPr>
              <w:t>19.03 %</w:t>
            </w:r>
          </w:p>
        </w:tc>
        <w:tc>
          <w:tcPr>
            <w:tcW w:type="dxa" w:w="903"/>
            <w:vAlign w:val="center"/>
          </w:tcPr>
          <w:p>
            <w:r/>
            <w:r>
              <w:rPr>
                <w:b w:val="0"/>
                <w:sz w:val="14"/>
              </w:rPr>
              <w:t>19.03 %</w:t>
            </w:r>
          </w:p>
        </w:tc>
        <w:tc>
          <w:tcPr>
            <w:tcW w:type="dxa" w:w="903"/>
            <w:vAlign w:val="center"/>
          </w:tcPr>
          <w:p>
            <w:r/>
            <w:r>
              <w:rPr>
                <w:b w:val="0"/>
                <w:sz w:val="14"/>
              </w:rPr>
              <w:t>19.03 %</w:t>
            </w:r>
          </w:p>
        </w:tc>
      </w:tr>
      <w:tr>
        <w:tc>
          <w:tcPr>
            <w:tcW w:type="dxa" w:w="903"/>
            <w:vAlign w:val="center"/>
          </w:tcPr>
          <w:p>
            <w:r/>
            <w:r>
              <w:rPr>
                <w:b w:val="0"/>
                <w:sz w:val="14"/>
              </w:rPr>
              <w:t>alcista_moderado</w:t>
            </w:r>
          </w:p>
        </w:tc>
        <w:tc>
          <w:tcPr>
            <w:tcW w:type="dxa" w:w="903"/>
            <w:vAlign w:val="center"/>
          </w:tcPr>
          <w:p>
            <w:r/>
            <w:r>
              <w:rPr>
                <w:b w:val="0"/>
                <w:sz w:val="14"/>
              </w:rPr>
              <w:t>1</w:t>
            </w:r>
          </w:p>
        </w:tc>
        <w:tc>
          <w:tcPr>
            <w:tcW w:type="dxa" w:w="903"/>
            <w:vAlign w:val="center"/>
          </w:tcPr>
          <w:p>
            <w:r/>
            <w:r>
              <w:rPr>
                <w:b w:val="0"/>
                <w:sz w:val="14"/>
              </w:rPr>
              <w:t>9.34 %</w:t>
            </w:r>
          </w:p>
        </w:tc>
        <w:tc>
          <w:tcPr>
            <w:tcW w:type="dxa" w:w="903"/>
            <w:vAlign w:val="center"/>
          </w:tcPr>
          <w:p>
            <w:r/>
            <w:r>
              <w:rPr>
                <w:b w:val="0"/>
                <w:sz w:val="14"/>
              </w:rPr>
              <w:t>9.34 %</w:t>
            </w:r>
          </w:p>
        </w:tc>
        <w:tc>
          <w:tcPr>
            <w:tcW w:type="dxa" w:w="903"/>
            <w:vAlign w:val="center"/>
          </w:tcPr>
          <w:p>
            <w:r/>
            <w:r>
              <w:rPr>
                <w:b w:val="0"/>
                <w:sz w:val="14"/>
              </w:rPr>
              <w:t>15.99 %</w:t>
            </w:r>
          </w:p>
        </w:tc>
        <w:tc>
          <w:tcPr>
            <w:tcW w:type="dxa" w:w="903"/>
            <w:vAlign w:val="center"/>
          </w:tcPr>
          <w:p>
            <w:r/>
            <w:r>
              <w:rPr>
                <w:b w:val="0"/>
                <w:sz w:val="14"/>
              </w:rPr>
              <w:t>15.99 %</w:t>
            </w:r>
          </w:p>
        </w:tc>
        <w:tc>
          <w:tcPr>
            <w:tcW w:type="dxa" w:w="903"/>
            <w:vAlign w:val="center"/>
          </w:tcPr>
          <w:p>
            <w:r/>
            <w:r>
              <w:rPr>
                <w:b w:val="0"/>
                <w:sz w:val="14"/>
              </w:rPr>
              <w:t>15.99 %</w:t>
            </w:r>
          </w:p>
        </w:tc>
        <w:tc>
          <w:tcPr>
            <w:tcW w:type="dxa" w:w="903"/>
            <w:vAlign w:val="center"/>
          </w:tcPr>
          <w:p>
            <w:r/>
            <w:r>
              <w:rPr>
                <w:b w:val="0"/>
                <w:sz w:val="14"/>
              </w:rPr>
              <w:t>15.99 %</w:t>
            </w:r>
          </w:p>
        </w:tc>
        <w:tc>
          <w:tcPr>
            <w:tcW w:type="dxa" w:w="903"/>
            <w:vAlign w:val="center"/>
          </w:tcPr>
          <w:p>
            <w:r/>
            <w:r>
              <w:rPr>
                <w:b w:val="0"/>
                <w:sz w:val="14"/>
              </w:rPr>
              <w:t>22.76 %</w:t>
            </w:r>
          </w:p>
        </w:tc>
        <w:tc>
          <w:tcPr>
            <w:tcW w:type="dxa" w:w="903"/>
            <w:vAlign w:val="center"/>
          </w:tcPr>
          <w:p>
            <w:r/>
            <w:r>
              <w:rPr>
                <w:b w:val="0"/>
                <w:sz w:val="14"/>
              </w:rPr>
              <w:t>22.76 %</w:t>
            </w:r>
          </w:p>
        </w:tc>
        <w:tc>
          <w:tcPr>
            <w:tcW w:type="dxa" w:w="903"/>
            <w:vAlign w:val="center"/>
          </w:tcPr>
          <w:p>
            <w:r/>
            <w:r>
              <w:rPr>
                <w:b w:val="0"/>
                <w:sz w:val="14"/>
              </w:rPr>
              <w:t>22.76 %</w:t>
            </w:r>
          </w:p>
        </w:tc>
      </w:tr>
      <w:tr>
        <w:tc>
          <w:tcPr>
            <w:tcW w:type="dxa" w:w="903"/>
            <w:vAlign w:val="center"/>
          </w:tcPr>
          <w:p>
            <w:r/>
            <w:r>
              <w:rPr>
                <w:b w:val="0"/>
                <w:sz w:val="14"/>
              </w:rPr>
              <w:t>lateral</w:t>
            </w:r>
          </w:p>
        </w:tc>
        <w:tc>
          <w:tcPr>
            <w:tcW w:type="dxa" w:w="903"/>
            <w:vAlign w:val="center"/>
          </w:tcPr>
          <w:p>
            <w:r/>
            <w:r>
              <w:rPr>
                <w:b w:val="0"/>
                <w:sz w:val="14"/>
              </w:rPr>
              <w:t>2</w:t>
            </w:r>
          </w:p>
        </w:tc>
        <w:tc>
          <w:tcPr>
            <w:tcW w:type="dxa" w:w="903"/>
            <w:vAlign w:val="center"/>
          </w:tcPr>
          <w:p>
            <w:r/>
            <w:r>
              <w:rPr>
                <w:b w:val="0"/>
                <w:sz w:val="14"/>
              </w:rPr>
              <w:t>3.51 %</w:t>
            </w:r>
          </w:p>
        </w:tc>
        <w:tc>
          <w:tcPr>
            <w:tcW w:type="dxa" w:w="903"/>
            <w:vAlign w:val="center"/>
          </w:tcPr>
          <w:p>
            <w:r/>
            <w:r>
              <w:rPr>
                <w:b w:val="0"/>
                <w:sz w:val="14"/>
              </w:rPr>
              <w:t>3.51 %</w:t>
            </w:r>
          </w:p>
        </w:tc>
        <w:tc>
          <w:tcPr>
            <w:tcW w:type="dxa" w:w="903"/>
            <w:vAlign w:val="center"/>
          </w:tcPr>
          <w:p>
            <w:r/>
            <w:r>
              <w:rPr>
                <w:b w:val="0"/>
                <w:sz w:val="14"/>
              </w:rPr>
              <w:t>5.90 %</w:t>
            </w:r>
          </w:p>
        </w:tc>
        <w:tc>
          <w:tcPr>
            <w:tcW w:type="dxa" w:w="903"/>
            <w:vAlign w:val="center"/>
          </w:tcPr>
          <w:p>
            <w:r/>
            <w:r>
              <w:rPr>
                <w:b w:val="0"/>
                <w:sz w:val="14"/>
              </w:rPr>
              <w:t>7.15 %</w:t>
            </w:r>
          </w:p>
        </w:tc>
        <w:tc>
          <w:tcPr>
            <w:tcW w:type="dxa" w:w="903"/>
            <w:vAlign w:val="center"/>
          </w:tcPr>
          <w:p>
            <w:r/>
            <w:r>
              <w:rPr>
                <w:b w:val="0"/>
                <w:sz w:val="14"/>
              </w:rPr>
              <w:t>7.03 %</w:t>
            </w:r>
          </w:p>
        </w:tc>
        <w:tc>
          <w:tcPr>
            <w:tcW w:type="dxa" w:w="903"/>
            <w:vAlign w:val="center"/>
          </w:tcPr>
          <w:p>
            <w:r/>
            <w:r>
              <w:rPr>
                <w:b w:val="0"/>
                <w:sz w:val="14"/>
              </w:rPr>
              <w:t>7.03 %</w:t>
            </w:r>
          </w:p>
        </w:tc>
        <w:tc>
          <w:tcPr>
            <w:tcW w:type="dxa" w:w="903"/>
            <w:vAlign w:val="center"/>
          </w:tcPr>
          <w:p>
            <w:r/>
            <w:r>
              <w:rPr>
                <w:b w:val="0"/>
                <w:sz w:val="14"/>
              </w:rPr>
              <w:t>8.30 %</w:t>
            </w:r>
          </w:p>
        </w:tc>
        <w:tc>
          <w:tcPr>
            <w:tcW w:type="dxa" w:w="903"/>
            <w:vAlign w:val="center"/>
          </w:tcPr>
          <w:p>
            <w:r/>
            <w:r>
              <w:rPr>
                <w:b w:val="0"/>
                <w:sz w:val="14"/>
              </w:rPr>
              <w:t>10.88 %</w:t>
            </w:r>
          </w:p>
        </w:tc>
        <w:tc>
          <w:tcPr>
            <w:tcW w:type="dxa" w:w="903"/>
            <w:vAlign w:val="center"/>
          </w:tcPr>
          <w:p>
            <w:r/>
            <w:r>
              <w:rPr>
                <w:b w:val="0"/>
                <w:sz w:val="14"/>
              </w:rPr>
              <w:t>10.63 %</w:t>
            </w:r>
          </w:p>
        </w:tc>
      </w:tr>
    </w:tbl>
    <w:p/>
    <w:p>
      <w:pPr>
        <w:pStyle w:val="Heading1"/>
      </w:pPr>
      <w:r>
        <w:rPr>
          <w:rFonts w:ascii="Aptos Display" w:hAnsi="Aptos Display"/>
          <w:color w:val="1F4E79"/>
        </w:rPr>
        <w:t>11. Artefactos generados para la entrega</w:t>
      </w:r>
    </w:p>
    <w:p>
      <w:r>
        <w:t>El flujo final genera un paquete dashboard_data_bundle.zip con los resultados, modelos, figuras y tablas necesarias para documentacion, dashboard y presentacion. El modelo final queda almacenado como best_model_bundle.joblib, que contiene modelo entrenado, imputador, lista de variables, configuracion, umbral calibrado y version de regimenes.</w:t>
      </w:r>
    </w:p>
    <w:p>
      <w:pPr>
        <w:pStyle w:val="ListBullet"/>
      </w:pPr>
      <w:r>
        <w:t>classification_summary.csv</w:t>
      </w:r>
    </w:p>
    <w:p>
      <w:pPr>
        <w:pStyle w:val="ListBullet"/>
      </w:pPr>
      <w:r>
        <w:t>classification_results.csv</w:t>
      </w:r>
    </w:p>
    <w:p>
      <w:pPr>
        <w:pStyle w:val="ListBullet"/>
      </w:pPr>
      <w:r>
        <w:t>all_predictions.csv</w:t>
      </w:r>
    </w:p>
    <w:p>
      <w:pPr>
        <w:pStyle w:val="ListBullet"/>
      </w:pPr>
      <w:r>
        <w:t>predictions.csv</w:t>
      </w:r>
    </w:p>
    <w:p>
      <w:pPr>
        <w:pStyle w:val="ListBullet"/>
      </w:pPr>
      <w:r>
        <w:t>best_predictions.csv</w:t>
      </w:r>
    </w:p>
    <w:p>
      <w:pPr>
        <w:pStyle w:val="ListBullet"/>
      </w:pPr>
      <w:r>
        <w:t>confusion_matrix.csv</w:t>
      </w:r>
    </w:p>
    <w:p>
      <w:pPr>
        <w:pStyle w:val="ListBullet"/>
      </w:pPr>
      <w:r>
        <w:t>segment_metrics.csv</w:t>
      </w:r>
    </w:p>
    <w:p>
      <w:pPr>
        <w:pStyle w:val="ListBullet"/>
      </w:pPr>
      <w:r>
        <w:t>model_performance_by_presidential_period.csv</w:t>
      </w:r>
    </w:p>
    <w:p>
      <w:pPr>
        <w:pStyle w:val="ListBullet"/>
      </w:pPr>
      <w:r>
        <w:t>magnitude_summary.csv</w:t>
      </w:r>
    </w:p>
    <w:p>
      <w:pPr>
        <w:pStyle w:val="ListBullet"/>
      </w:pPr>
      <w:r>
        <w:t>strategy_backtest_summary.csv</w:t>
      </w:r>
    </w:p>
    <w:p>
      <w:pPr>
        <w:pStyle w:val="ListBullet"/>
      </w:pPr>
      <w:r>
        <w:t>audit_summary.csv</w:t>
      </w:r>
    </w:p>
    <w:p>
      <w:pPr>
        <w:pStyle w:val="ListBullet"/>
      </w:pPr>
      <w:r>
        <w:t>feature_importance.csv</w:t>
      </w:r>
    </w:p>
    <w:p>
      <w:pPr>
        <w:pStyle w:val="ListBullet"/>
      </w:pPr>
      <w:r>
        <w:t>models/best_model_bundle.joblib</w:t>
      </w:r>
    </w:p>
    <w:p>
      <w:pPr>
        <w:pStyle w:val="ListBullet"/>
      </w:pPr>
      <w:r>
        <w:t>models/best_model_config.json</w:t>
      </w:r>
    </w:p>
    <w:p>
      <w:pPr>
        <w:pStyle w:val="ListBullet"/>
      </w:pPr>
      <w:r>
        <w:t>figures/*.png</w:t>
      </w:r>
    </w:p>
    <w:p>
      <w:pPr>
        <w:pStyle w:val="Heading1"/>
      </w:pPr>
      <w:r>
        <w:rPr>
          <w:rFonts w:ascii="Aptos Display" w:hAnsi="Aptos Display"/>
          <w:color w:val="1F4E79"/>
        </w:rPr>
        <w:t>12. Discusion</w:t>
      </w:r>
    </w:p>
    <w:p>
      <w:r>
        <w:t>Los resultados muestran que el contexto global es decisivo. La caida de desempeño en las auditorias sin oro directo, sin metales y solo Colombia indica que el oro local esta fuertemente conectado con el mercado internacional. Esto es consistente con la naturaleza del activo: el precio local refleja tanto el precio internacional como condiciones cambiarias y macrofinancieras locales.</w:t>
      </w:r>
    </w:p>
    <w:p>
      <w:r>
        <w:t>El resultado tambien muestra que los regimenes macrofinancieros aportan valor interpretativo. La seleccion 6/7 en UMAP/KMeans no busca maximizar unicamente la separacion geometrica, sino obtener clusters compatibles con lectura economica, enfermedad holandesa y postura monetaria. Esta decision fortalece la sustentacion, porque conecta la capa de aprendizaje no supervisado con una interpretacion macroeconomica defendible.</w:t>
      </w:r>
    </w:p>
    <w:p>
      <w:pPr>
        <w:pStyle w:val="Heading1"/>
      </w:pPr>
      <w:r>
        <w:rPr>
          <w:rFonts w:ascii="Aptos Display" w:hAnsi="Aptos Display"/>
          <w:color w:val="1F4E79"/>
        </w:rPr>
        <w:t>13. Limitaciones</w:t>
      </w:r>
    </w:p>
    <w:p>
      <w:pPr>
        <w:pStyle w:val="ListNumber"/>
      </w:pPr>
      <w:r>
        <w:t>La serie diaria del precio del oro tiene frecuencia efectiva cercana a mensual, por lo que los resultados deben interpretarse con cuidado.</w:t>
      </w:r>
    </w:p>
    <w:p>
      <w:pPr>
        <w:pStyle w:val="ListNumber"/>
      </w:pPr>
      <w:r>
        <w:t>La validacion walk-forward reduce riesgo de sobreajuste temporal, pero no prueba causalidad.</w:t>
      </w:r>
    </w:p>
    <w:p>
      <w:pPr>
        <w:pStyle w:val="ListNumber"/>
      </w:pPr>
      <w:r>
        <w:t>El modelo completo depende de variables globales cercanas al oro y a metales; por eso la auditoria anti-fuga debe reportarse siempre.</w:t>
      </w:r>
    </w:p>
    <w:p>
      <w:pPr>
        <w:pStyle w:val="ListNumber"/>
      </w:pPr>
      <w:r>
        <w:t>La enfermedad holandesa se usa como contexto anual y segmentador, no como variable causal directa del precio del oro.</w:t>
      </w:r>
    </w:p>
    <w:p>
      <w:pPr>
        <w:pStyle w:val="ListNumber"/>
      </w:pPr>
      <w:r>
        <w:t>El simulador de inversion no incluye todos los costos, impuestos, restricciones de mercado o slippage real.</w:t>
      </w:r>
    </w:p>
    <w:p>
      <w:pPr>
        <w:pStyle w:val="ListNumber"/>
      </w:pPr>
      <w:r>
        <w:t>Las conclusiones son analiticas y academicas, no constituyen recomendacion financiera.</w:t>
      </w:r>
    </w:p>
    <w:p>
      <w:pPr>
        <w:pStyle w:val="Heading1"/>
      </w:pPr>
      <w:r>
        <w:rPr>
          <w:rFonts w:ascii="Aptos Display" w:hAnsi="Aptos Display"/>
          <w:color w:val="1F4E79"/>
        </w:rPr>
        <w:t>14. Conclusiones</w:t>
      </w:r>
    </w:p>
    <w:p>
      <w:pPr>
        <w:pStyle w:val="ListNumber"/>
      </w:pPr>
      <w:r>
        <w:t>El mejor modelo final fue HistGradientBoostingClassifier con colombia_plus_global_full y ponderacion balanced, alcanzando balanced accuracy media de 87,34 % y AUC media de 94,78 %.</w:t>
      </w:r>
    </w:p>
    <w:p>
      <w:pPr>
        <w:pStyle w:val="ListNumber"/>
      </w:pPr>
      <w:r>
        <w:t>La arquitectura hibrida supera ampliamente las reglas deterministicas simples y permite una interpretacion por regimenes.</w:t>
      </w:r>
    </w:p>
    <w:p>
      <w:pPr>
        <w:pStyle w:val="ListNumber"/>
      </w:pPr>
      <w:r>
        <w:t>Los regimenes UMAP/KMeans 6/7 son utiles para organizar la lectura macrohistorica y vincularla con enfermedad holandesa y postura monetaria.</w:t>
      </w:r>
    </w:p>
    <w:p>
      <w:pPr>
        <w:pStyle w:val="ListNumber"/>
      </w:pPr>
      <w:r>
        <w:t>La auditoria muestra dependencia importante del contexto global, especialmente de variables cercanas al oro internacional y metales.</w:t>
      </w:r>
    </w:p>
    <w:p>
      <w:pPr>
        <w:pStyle w:val="ListNumber"/>
      </w:pPr>
      <w:r>
        <w:t>La segmentacion por periodo presidencial, enfermedad holandesa y clusters permite identificar contextos de mayor y menor predictibilidad.</w:t>
      </w:r>
    </w:p>
    <w:p>
      <w:pPr>
        <w:pStyle w:val="ListNumber"/>
      </w:pPr>
      <w:r>
        <w:t>El proyecto queda listo para entrega con modelo entrenado, dashboard, salidas reproducibles y documentacion tecnica.</w:t>
      </w:r>
    </w:p>
    <w:p>
      <w:pPr>
        <w:pStyle w:val="Heading1"/>
      </w:pPr>
      <w:r>
        <w:rPr>
          <w:rFonts w:ascii="Aptos Display" w:hAnsi="Aptos Display"/>
          <w:color w:val="1F4E79"/>
        </w:rPr>
        <w:t>15. Trabajo futuro</w:t>
      </w:r>
    </w:p>
    <w:p>
      <w:pPr>
        <w:pStyle w:val="ListBullet"/>
      </w:pPr>
      <w:r>
        <w:t>Comparar el enfoque h21 con una version mensual pura, dada la frecuencia efectiva del precio del oro.</w:t>
      </w:r>
    </w:p>
    <w:p>
      <w:pPr>
        <w:pStyle w:val="ListBullet"/>
      </w:pPr>
      <w:r>
        <w:t>Incorporar una fuente diaria real del precio internacional del oro para estudiar horizontes cortos.</w:t>
      </w:r>
    </w:p>
    <w:p>
      <w:pPr>
        <w:pStyle w:val="ListBullet"/>
      </w:pPr>
      <w:r>
        <w:t>Entrenar modelos especializados por regimen cuando se identifiquen clusters con desempeno sistematicamente diferente.</w:t>
      </w:r>
    </w:p>
    <w:p>
      <w:pPr>
        <w:pStyle w:val="ListBullet"/>
      </w:pPr>
      <w:r>
        <w:t>Profundizar la auditoria de dependencia con variables globales cercanas al oro.</w:t>
      </w:r>
    </w:p>
    <w:p>
      <w:pPr>
        <w:pStyle w:val="ListBullet"/>
      </w:pPr>
      <w:r>
        <w:t>Extender el dashboard con escenarios contrafactuales y sensibilidad de variables.</w:t>
      </w:r>
    </w:p>
    <w:p>
      <w:pPr>
        <w:pStyle w:val="ListBullet"/>
      </w:pPr>
      <w:r>
        <w:t>Evaluar costos reales de transaccion y restricciones de implementacion si se quiere usar el simulador en contexto financiero.</w:t>
      </w:r>
    </w:p>
    <w:p>
      <w:pPr>
        <w:pStyle w:val="Heading1"/>
      </w:pPr>
      <w:r>
        <w:rPr>
          <w:rFonts w:ascii="Aptos Display" w:hAnsi="Aptos Display"/>
          <w:color w:val="1F4E79"/>
        </w:rPr>
        <w:t>Referencias</w:t>
      </w:r>
    </w:p>
    <w:p>
      <w:pPr>
        <w:pStyle w:val="ListNumber"/>
      </w:pPr>
      <w:r>
        <w:t>Corden, W. M., &amp; Neary, J. P. (1982). Booming sector and de-industrialisation in a small open economy. The Economic Journal, 92(368), 825-848.</w:t>
      </w:r>
    </w:p>
    <w:p>
      <w:pPr>
        <w:pStyle w:val="ListNumber"/>
      </w:pPr>
      <w:r>
        <w:t>McInnes, L., Healy, J., &amp; Melville, J. (2018). UMAP: Uniform Manifold Approximation and Projection for Dimension Reduction. arXiv:1802.03426.</w:t>
      </w:r>
    </w:p>
    <w:p>
      <w:pPr>
        <w:pStyle w:val="ListNumber"/>
      </w:pPr>
      <w:r>
        <w:t>Rousseeuw, P. J. (1987). Silhouettes: A graphical aid to the interpretation and validation of cluster analysis. Journal of Computational and Applied Mathematics, 20, 53-65.</w:t>
      </w:r>
    </w:p>
    <w:p>
      <w:pPr>
        <w:pStyle w:val="ListNumber"/>
      </w:pPr>
      <w:r>
        <w:t>Breiman, L. (2001). Random Forests. Machine Learning, 45, 5-32.</w:t>
      </w:r>
    </w:p>
    <w:p>
      <w:pPr>
        <w:pStyle w:val="ListNumber"/>
      </w:pPr>
      <w:r>
        <w:t>Friedman, J. H. (2001). Greedy function approximation: A gradient boosting machine. Annals of Statistics, 29(5), 1189-1232.</w:t>
      </w:r>
    </w:p>
    <w:p>
      <w:pPr>
        <w:pStyle w:val="ListNumber"/>
      </w:pPr>
      <w:r>
        <w:t>Chen, T., &amp; Guestrin, C. (2016). XGBoost: A scalable tree boosting system. Proceedings of KDD.</w:t>
      </w:r>
    </w:p>
    <w:p>
      <w:pPr>
        <w:pStyle w:val="ListNumber"/>
      </w:pPr>
      <w:r>
        <w:t>Proyecto Oro Colombia. (2026). Dashboard data bundle y salidas computacionales del analisis final.</w:t>
      </w:r>
    </w:p>
    <w:p>
      <w:pPr>
        <w:pStyle w:val="ListNumber"/>
      </w:pPr>
      <w:r>
        <w:t>Proyecto Oro Colombia. (2026). Documento previo deterministico y econometrico sobre oro, politica monetaria y enfermedad holandesa.</w:t>
      </w:r>
    </w:p>
    <w:p>
      <w:pPr>
        <w:pStyle w:val="Heading1"/>
      </w:pPr>
      <w:r>
        <w:rPr>
          <w:rFonts w:ascii="Aptos Display" w:hAnsi="Aptos Display"/>
          <w:color w:val="1F4E79"/>
        </w:rPr>
        <w:t>Anexo A. Lista de figuras principales generadas</w:t>
      </w:r>
    </w:p>
    <w:p>
      <w:pPr>
        <w:pStyle w:val="ListBullet"/>
      </w:pPr>
      <w:r>
        <w:t>ai_vs_deterministic_bacc.png</w:t>
      </w:r>
    </w:p>
    <w:p>
      <w:pPr>
        <w:pStyle w:val="ListBullet"/>
      </w:pPr>
      <w:r>
        <w:t>audit_bacc.png</w:t>
      </w:r>
    </w:p>
    <w:p>
      <w:pPr>
        <w:pStyle w:val="ListBullet"/>
      </w:pPr>
      <w:r>
        <w:t>cluster_profile_abs_heatmap.png</w:t>
      </w:r>
    </w:p>
    <w:p>
      <w:pPr>
        <w:pStyle w:val="ListBullet"/>
      </w:pPr>
      <w:r>
        <w:t>cluster_profile_chg_heatmap.png</w:t>
      </w:r>
    </w:p>
    <w:p>
      <w:pPr>
        <w:pStyle w:val="ListBullet"/>
      </w:pPr>
      <w:r>
        <w:t>cluster_transition_abs_heatmap.png</w:t>
      </w:r>
    </w:p>
    <w:p>
      <w:pPr>
        <w:pStyle w:val="ListBullet"/>
      </w:pPr>
      <w:r>
        <w:t>cluster_transition_chg_heatmap.png</w:t>
      </w:r>
    </w:p>
    <w:p>
      <w:pPr>
        <w:pStyle w:val="ListBullet"/>
      </w:pPr>
      <w:r>
        <w:t>confusion_matrix_best.png</w:t>
      </w:r>
    </w:p>
    <w:p>
      <w:pPr>
        <w:pStyle w:val="ListBullet"/>
      </w:pPr>
      <w:r>
        <w:t>model_comparison_by_feature_set.png</w:t>
      </w:r>
    </w:p>
    <w:p>
      <w:pPr>
        <w:pStyle w:val="ListBullet"/>
      </w:pPr>
      <w:r>
        <w:t>model_comparison_by_train_window.png</w:t>
      </w:r>
    </w:p>
    <w:p>
      <w:pPr>
        <w:pStyle w:val="ListBullet"/>
      </w:pPr>
      <w:r>
        <w:t>model_outputs_probability_sample.png</w:t>
      </w:r>
    </w:p>
    <w:p>
      <w:pPr>
        <w:pStyle w:val="ListBullet"/>
      </w:pPr>
      <w:r>
        <w:t>probability_threshold_best_model.png</w:t>
      </w:r>
    </w:p>
    <w:p>
      <w:pPr>
        <w:pStyle w:val="ListBullet"/>
      </w:pPr>
      <w:r>
        <w:t>real_vs_estimated_return.png</w:t>
      </w:r>
    </w:p>
    <w:p>
      <w:pPr>
        <w:pStyle w:val="ListBullet"/>
      </w:pPr>
      <w:r>
        <w:t>real_vs_expected_price_h21.png</w:t>
      </w:r>
    </w:p>
    <w:p>
      <w:pPr>
        <w:pStyle w:val="ListBullet"/>
      </w:pPr>
      <w:r>
        <w:t>stochastic_return_boxplot_by_president.png</w:t>
      </w:r>
    </w:p>
    <w:p>
      <w:pPr>
        <w:pStyle w:val="ListBullet"/>
      </w:pPr>
      <w:r>
        <w:t>stochastic_volatility_by_segment.png</w:t>
      </w:r>
    </w:p>
    <w:p>
      <w:pPr>
        <w:pStyle w:val="ListBullet"/>
      </w:pPr>
      <w:r>
        <w:t>strategy_capital_curves.png</w:t>
      </w:r>
    </w:p>
    <w:p>
      <w:pPr>
        <w:pStyle w:val="ListBullet"/>
      </w:pPr>
      <w:r>
        <w:t>top20_models_bacc.png</w:t>
      </w:r>
    </w:p>
    <w:p>
      <w:pPr>
        <w:pStyle w:val="ListBullet"/>
      </w:pPr>
      <w:r>
        <w:t>umap_abs_local_biplot.png</w:t>
      </w:r>
    </w:p>
    <w:p>
      <w:pPr>
        <w:pStyle w:val="ListBullet"/>
      </w:pPr>
      <w:r>
        <w:t>umap_chg_local_biplot.png</w:t>
      </w:r>
    </w:p>
    <w:p>
      <w:pPr>
        <w:pStyle w:val="ListBullet"/>
      </w:pPr>
      <w:r>
        <w:t>umap_optimization_abs_silhouette.png</w:t>
      </w:r>
    </w:p>
    <w:p>
      <w:pPr>
        <w:pStyle w:val="ListBullet"/>
      </w:pPr>
      <w:r>
        <w:t>umap_optimization_chg_silhouette.png</w:t>
      </w:r>
    </w:p>
    <w:p>
      <w:pPr>
        <w:pStyle w:val="ListBullet"/>
      </w:pPr>
      <w:r>
        <w:t>umap_regimes_abs.png</w:t>
      </w:r>
    </w:p>
    <w:p>
      <w:pPr>
        <w:pStyle w:val="ListBullet"/>
      </w:pPr>
      <w:r>
        <w:t>umap_regimes_chg.png</w:t>
      </w:r>
    </w:p>
    <w:p>
      <w:pPr>
        <w:pStyle w:val="ListBullet"/>
      </w:pPr>
      <w:r>
        <w:t>walkforward_metrics_best_model.png</w:t>
      </w:r>
    </w:p>
    <w:sectPr w:rsidR="00FC693F" w:rsidRPr="0006063C" w:rsidSect="00034616">
      <w:headerReference w:type="default" r:id="rId26"/>
      <w:footerReference w:type="default" r:id="rId27"/>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GCPDS | Teoria de aprendizaje de maquinas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Proyecto Oro Colombia - Documento tecnico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header" Target="header1.xml"/><Relationship Id="rId27" Type="http://schemas.openxmlformats.org/officeDocument/2006/relationships/footer" Target="footer1.xm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