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IMPLEMENTATION APPROACH &amp; PLAN</w:t>
      </w:r>
    </w:p>
    <w:p>
      <w:pPr>
        <w:jc w:val="center"/>
      </w:pPr>
      <w:r>
        <w:rPr>
          <w:b/>
          <w:sz w:val="26"/>
        </w:rPr>
        <w:t>Web-Based GIS-Enabled Mine Monitoring Platform</w:t>
      </w:r>
    </w:p>
    <w:p>
      <w:pPr>
        <w:jc w:val="center"/>
      </w:pPr>
      <w:r>
        <w:rPr>
          <w:i/>
          <w:sz w:val="20"/>
        </w:rPr>
        <w:t>Department of Mines &amp; Geology, Government of Telangana</w:t>
      </w:r>
    </w:p>
    <w:p>
      <w:pPr>
        <w:spacing w:before="160" w:after="60"/>
      </w:pPr>
      <w:r>
        <w:rPr>
          <w:rFonts w:ascii="Arial" w:hAnsi="Arial"/>
          <w:b/>
          <w:sz w:val="26"/>
        </w:rPr>
        <w:t>1. Objective</w:t>
      </w:r>
    </w:p>
    <w:p>
      <w:pPr>
        <w:spacing w:after="80"/>
      </w:pPr>
      <w:r>
        <w:t>We propose to implement an integrated, web-based, GIS-enabled Mine Monitoring Platform that provides a single digital environment for managing mining leases, spatial data, operational information, compliance, revenue, dashboards and departmental workflows.</w:t>
      </w:r>
    </w:p>
    <w:p>
      <w:pPr>
        <w:spacing w:after="80"/>
      </w:pPr>
      <w:r>
        <w:t>The platform will be built using open-source technologies, with a modular and scalable architecture suitable for Government deployment and capable of operating in an on-premise or approved cloud environment.</w:t>
      </w:r>
    </w:p>
    <w:p>
      <w:pPr>
        <w:spacing w:before="160" w:after="60"/>
      </w:pPr>
      <w:r>
        <w:rPr>
          <w:rFonts w:ascii="Arial" w:hAnsi="Arial"/>
          <w:b/>
          <w:sz w:val="26"/>
        </w:rPr>
        <w:t>2. Proposed Technology Architecture</w:t>
      </w:r>
    </w:p>
    <w:p>
      <w:pPr>
        <w:spacing w:after="80"/>
      </w:pPr>
      <w:r>
        <w:t>The solution will follow a three-tier architecture:</w:t>
      </w:r>
    </w:p>
    <w:p>
      <w:pPr>
        <w:pStyle w:val="ListBullet"/>
        <w:spacing w:after="20"/>
      </w:pPr>
      <w:r>
        <w:t>Web / Mobile Applications</w:t>
      </w:r>
    </w:p>
    <w:p>
      <w:pPr>
        <w:pStyle w:val="ListBullet"/>
        <w:spacing w:after="20"/>
      </w:pPr>
      <w:r>
        <w:t>Application &amp; GIS Services</w:t>
      </w:r>
    </w:p>
    <w:p>
      <w:pPr>
        <w:pStyle w:val="ListBullet"/>
        <w:spacing w:after="20"/>
      </w:pPr>
      <w:r>
        <w:t>Spatial &amp; Enterprise Database</w:t>
      </w:r>
    </w:p>
    <w:p>
      <w:pPr>
        <w:spacing w:after="80"/>
      </w:pPr>
      <w:r>
        <w:t>Indicative technology stack:</w:t>
      </w:r>
    </w:p>
    <w:p>
      <w:pPr>
        <w:pStyle w:val="ListBullet"/>
        <w:spacing w:after="20"/>
      </w:pPr>
      <w:r>
        <w:t>Frontend: ReactJS + MapLibre GL JS</w:t>
      </w:r>
    </w:p>
    <w:p>
      <w:pPr>
        <w:pStyle w:val="ListBullet"/>
        <w:spacing w:after="20"/>
      </w:pPr>
      <w:r>
        <w:t>GIS Server: GeoServer</w:t>
      </w:r>
    </w:p>
    <w:p>
      <w:pPr>
        <w:pStyle w:val="ListBullet"/>
        <w:spacing w:after="20"/>
      </w:pPr>
      <w:r>
        <w:t>Spatial Database: PostgreSQL + PostGIS</w:t>
      </w:r>
    </w:p>
    <w:p>
      <w:pPr>
        <w:pStyle w:val="ListBullet"/>
        <w:spacing w:after="20"/>
      </w:pPr>
      <w:r>
        <w:t>Backend: Python – Django/FastAPI</w:t>
      </w:r>
    </w:p>
    <w:p>
      <w:pPr>
        <w:pStyle w:val="ListBullet"/>
        <w:spacing w:after="20"/>
      </w:pPr>
      <w:r>
        <w:t>Raster / Remote Sensing: GDAL, Rasterio and open-source geospatial libraries</w:t>
      </w:r>
    </w:p>
    <w:p>
      <w:pPr>
        <w:pStyle w:val="ListBullet"/>
        <w:spacing w:after="20"/>
      </w:pPr>
      <w:r>
        <w:t>Authentication: Role-Based Access Control (RBAC)</w:t>
      </w:r>
    </w:p>
    <w:p>
      <w:pPr>
        <w:pStyle w:val="ListBullet"/>
        <w:spacing w:after="20"/>
      </w:pPr>
      <w:r>
        <w:t>APIs: REST / OGC standards</w:t>
      </w:r>
    </w:p>
    <w:p>
      <w:pPr>
        <w:pStyle w:val="ListBullet"/>
        <w:spacing w:after="20"/>
      </w:pPr>
      <w:r>
        <w:t>Deployment: Docker / containerized architecture</w:t>
      </w:r>
    </w:p>
    <w:p>
      <w:pPr>
        <w:pStyle w:val="ListBullet"/>
        <w:spacing w:after="20"/>
      </w:pPr>
      <w:r>
        <w:t>Reporting: Web-based dashboards, MIS and configurable reports</w:t>
      </w:r>
    </w:p>
    <w:p>
      <w:pPr>
        <w:spacing w:before="160" w:after="60"/>
      </w:pPr>
      <w:r>
        <w:rPr>
          <w:rFonts w:ascii="Arial" w:hAnsi="Arial"/>
          <w:b/>
          <w:sz w:val="26"/>
        </w:rPr>
        <w:t>3. Implementation Methodology</w:t>
      </w:r>
    </w:p>
    <w:p>
      <w:pPr>
        <w:spacing w:before="160" w:after="60"/>
      </w:pPr>
      <w:r>
        <w:rPr>
          <w:rFonts w:ascii="Arial" w:hAnsi="Arial"/>
          <w:b/>
          <w:sz w:val="22"/>
        </w:rPr>
        <w:t>3.1 Phase 1 – Requirement &amp; Data Assessment</w:t>
      </w:r>
    </w:p>
    <w:p>
      <w:pPr>
        <w:pStyle w:val="ListBullet"/>
        <w:spacing w:after="20"/>
      </w:pPr>
      <w:r>
        <w:t>Detailed study of existing departmental systems</w:t>
      </w:r>
    </w:p>
    <w:p>
      <w:pPr>
        <w:pStyle w:val="ListBullet"/>
        <w:spacing w:after="20"/>
      </w:pPr>
      <w:r>
        <w:t>Identification of existing databases, GIS layers and documents</w:t>
      </w:r>
    </w:p>
    <w:p>
      <w:pPr>
        <w:pStyle w:val="ListBullet"/>
        <w:spacing w:after="20"/>
      </w:pPr>
      <w:r>
        <w:t>Stakeholder workshops</w:t>
      </w:r>
    </w:p>
    <w:p>
      <w:pPr>
        <w:pStyle w:val="ListBullet"/>
        <w:spacing w:after="20"/>
      </w:pPr>
      <w:r>
        <w:t>Preparation of functional and technical requirements</w:t>
      </w:r>
    </w:p>
    <w:p>
      <w:pPr>
        <w:pStyle w:val="ListBullet"/>
        <w:spacing w:after="20"/>
      </w:pPr>
      <w:r>
        <w:t>Data quality and gap assessment</w:t>
      </w:r>
    </w:p>
    <w:p>
      <w:pPr>
        <w:pStyle w:val="ListBullet"/>
        <w:spacing w:after="20"/>
      </w:pPr>
      <w:r>
        <w:t>Finalization of data model and system architecture</w:t>
      </w:r>
    </w:p>
    <w:p>
      <w:pPr>
        <w:spacing w:before="160" w:after="60"/>
      </w:pPr>
      <w:r>
        <w:rPr>
          <w:rFonts w:ascii="Arial" w:hAnsi="Arial"/>
          <w:b/>
          <w:sz w:val="22"/>
        </w:rPr>
        <w:t>3.2 Phase 2 – Spatial Database &amp; Master Data</w:t>
      </w:r>
    </w:p>
    <w:p>
      <w:pPr>
        <w:spacing w:after="80"/>
      </w:pPr>
      <w:r>
        <w:t>A centralized spatial database will be established using PostGIS. Major entities will include:</w:t>
      </w:r>
    </w:p>
    <w:p>
      <w:pPr>
        <w:pStyle w:val="ListBullet"/>
        <w:spacing w:after="20"/>
      </w:pPr>
      <w:r>
        <w:t>Mining leases and lease holders</w:t>
      </w:r>
    </w:p>
    <w:p>
      <w:pPr>
        <w:pStyle w:val="ListBullet"/>
        <w:spacing w:after="20"/>
      </w:pPr>
      <w:r>
        <w:t>Mines / quarries and survey information</w:t>
      </w:r>
    </w:p>
    <w:p>
      <w:pPr>
        <w:pStyle w:val="ListBullet"/>
        <w:spacing w:after="20"/>
      </w:pPr>
      <w:r>
        <w:t>Land parcels and mineral information</w:t>
      </w:r>
    </w:p>
    <w:p>
      <w:pPr>
        <w:pStyle w:val="ListBullet"/>
        <w:spacing w:after="20"/>
      </w:pPr>
      <w:r>
        <w:t>Applications and permits</w:t>
      </w:r>
    </w:p>
    <w:p>
      <w:pPr>
        <w:pStyle w:val="ListBullet"/>
        <w:spacing w:after="20"/>
      </w:pPr>
      <w:r>
        <w:t>Production information</w:t>
      </w:r>
    </w:p>
    <w:p>
      <w:pPr>
        <w:pStyle w:val="ListBullet"/>
        <w:spacing w:after="20"/>
      </w:pPr>
      <w:r>
        <w:t>Inspections, compliance and violations</w:t>
      </w:r>
    </w:p>
    <w:p>
      <w:pPr>
        <w:pStyle w:val="ListBullet"/>
        <w:spacing w:after="20"/>
      </w:pPr>
      <w:r>
        <w:t>Revenue information</w:t>
      </w:r>
    </w:p>
    <w:p>
      <w:pPr>
        <w:pStyle w:val="ListBullet"/>
        <w:spacing w:after="20"/>
      </w:pPr>
      <w:r>
        <w:t>Supporting documents</w:t>
      </w:r>
    </w:p>
    <w:p>
      <w:pPr>
        <w:spacing w:after="80"/>
      </w:pPr>
      <w:r>
        <w:t>Spatial and non-spatial information will be linked through a lease-centric master data model, providing a single source of truth.</w:t>
      </w:r>
    </w:p>
    <w:p>
      <w:pPr>
        <w:spacing w:before="160" w:after="60"/>
      </w:pPr>
      <w:r>
        <w:rPr>
          <w:rFonts w:ascii="Arial" w:hAnsi="Arial"/>
          <w:b/>
          <w:sz w:val="26"/>
        </w:rPr>
        <w:t>4. Web-GIS &amp; Mine Monitoring</w:t>
      </w:r>
    </w:p>
    <w:p>
      <w:pPr>
        <w:spacing w:after="80"/>
      </w:pPr>
      <w:r>
        <w:t>The Web-GIS will be developed as the primary operational interface. Users will be able to:</w:t>
      </w:r>
    </w:p>
    <w:p>
      <w:pPr>
        <w:pStyle w:val="ListBullet"/>
        <w:spacing w:after="20"/>
      </w:pPr>
      <w:r>
        <w:t>Search and locate mining leases</w:t>
      </w:r>
    </w:p>
    <w:p>
      <w:pPr>
        <w:pStyle w:val="ListBullet"/>
        <w:spacing w:after="20"/>
      </w:pPr>
      <w:r>
        <w:t>View lease boundaries and associated information</w:t>
      </w:r>
    </w:p>
    <w:p>
      <w:pPr>
        <w:pStyle w:val="ListBullet"/>
        <w:spacing w:after="20"/>
      </w:pPr>
      <w:r>
        <w:t>Overlay multiple thematic GIS layers</w:t>
      </w:r>
    </w:p>
    <w:p>
      <w:pPr>
        <w:pStyle w:val="ListBullet"/>
        <w:spacing w:after="20"/>
      </w:pPr>
      <w:r>
        <w:t>Query spatial and attribute information</w:t>
      </w:r>
    </w:p>
    <w:p>
      <w:pPr>
        <w:pStyle w:val="ListBullet"/>
        <w:spacing w:after="20"/>
      </w:pPr>
      <w:r>
        <w:t>Perform spatial analysis</w:t>
      </w:r>
    </w:p>
    <w:p>
      <w:pPr>
        <w:pStyle w:val="ListBullet"/>
        <w:spacing w:after="20"/>
      </w:pPr>
      <w:r>
        <w:t>View survey and operational information</w:t>
      </w:r>
    </w:p>
    <w:p>
      <w:pPr>
        <w:pStyle w:val="ListBullet"/>
        <w:spacing w:after="20"/>
      </w:pPr>
      <w:r>
        <w:t>Monitor mining activities</w:t>
      </w:r>
    </w:p>
    <w:p>
      <w:pPr>
        <w:pStyle w:val="ListBullet"/>
        <w:spacing w:after="20"/>
      </w:pPr>
      <w:r>
        <w:t>Identify potential violations</w:t>
      </w:r>
    </w:p>
    <w:p>
      <w:pPr>
        <w:pStyle w:val="ListBullet"/>
        <w:spacing w:after="20"/>
      </w:pPr>
      <w:r>
        <w:t>Generate maps and reports</w:t>
      </w:r>
    </w:p>
    <w:p>
      <w:pPr>
        <w:pStyle w:val="ListBullet"/>
        <w:spacing w:after="20"/>
      </w:pPr>
      <w:r>
        <w:t>Access the system through a standard web browser</w:t>
      </w:r>
    </w:p>
    <w:p>
      <w:pPr>
        <w:spacing w:after="80"/>
      </w:pPr>
      <w:r>
        <w:t>The GIS platform will use GeoServer + PostGIS with OGC-compliant services and modern web mapping technologies.</w:t>
      </w:r>
    </w:p>
    <w:p>
      <w:pPr>
        <w:spacing w:before="160" w:after="60"/>
      </w:pPr>
      <w:r>
        <w:rPr>
          <w:rFonts w:ascii="Arial" w:hAnsi="Arial"/>
          <w:b/>
          <w:sz w:val="26"/>
        </w:rPr>
        <w:t>5. Dashboards &amp; Decision Support</w:t>
      </w:r>
    </w:p>
    <w:p>
      <w:pPr>
        <w:spacing w:after="80"/>
      </w:pPr>
      <w:r>
        <w:t>A configurable dashboard will provide management with a consolidated view of mining activities. Indicative dashboards include:</w:t>
      </w:r>
    </w:p>
    <w:p>
      <w:pPr>
        <w:pStyle w:val="ListBullet"/>
        <w:spacing w:after="20"/>
      </w:pPr>
      <w:r>
        <w:t>Number of active / inactive leases</w:t>
      </w:r>
    </w:p>
    <w:p>
      <w:pPr>
        <w:pStyle w:val="ListBullet"/>
        <w:spacing w:after="20"/>
      </w:pPr>
      <w:r>
        <w:t>Mineral-wise statistics</w:t>
      </w:r>
    </w:p>
    <w:p>
      <w:pPr>
        <w:pStyle w:val="ListBullet"/>
        <w:spacing w:after="20"/>
      </w:pPr>
      <w:r>
        <w:t>District-wise mining activities</w:t>
      </w:r>
    </w:p>
    <w:p>
      <w:pPr>
        <w:pStyle w:val="ListBullet"/>
        <w:spacing w:after="20"/>
      </w:pPr>
      <w:r>
        <w:t>Production statistics</w:t>
      </w:r>
    </w:p>
    <w:p>
      <w:pPr>
        <w:pStyle w:val="ListBullet"/>
        <w:spacing w:after="20"/>
      </w:pPr>
      <w:r>
        <w:t>Revenue / royalty information</w:t>
      </w:r>
    </w:p>
    <w:p>
      <w:pPr>
        <w:pStyle w:val="ListBullet"/>
        <w:spacing w:after="20"/>
      </w:pPr>
      <w:r>
        <w:t>Inspection status</w:t>
      </w:r>
    </w:p>
    <w:p>
      <w:pPr>
        <w:pStyle w:val="ListBullet"/>
        <w:spacing w:after="20"/>
      </w:pPr>
      <w:r>
        <w:t>Compliance and violations</w:t>
      </w:r>
    </w:p>
    <w:p>
      <w:pPr>
        <w:pStyle w:val="ListBullet"/>
        <w:spacing w:after="20"/>
      </w:pPr>
      <w:r>
        <w:t>Lease expiry</w:t>
      </w:r>
    </w:p>
    <w:p>
      <w:pPr>
        <w:pStyle w:val="ListBullet"/>
        <w:spacing w:after="20"/>
      </w:pPr>
      <w:r>
        <w:t>Applications and approvals</w:t>
      </w:r>
    </w:p>
    <w:p>
      <w:pPr>
        <w:pStyle w:val="ListBullet"/>
        <w:spacing w:after="20"/>
      </w:pPr>
      <w:r>
        <w:t>Spatial distribution of mining activities</w:t>
      </w:r>
    </w:p>
    <w:p>
      <w:pPr>
        <w:spacing w:after="80"/>
      </w:pPr>
      <w:r>
        <w:t>Dashboards will support State → District → Lease / Mine-level drill-down.</w:t>
      </w:r>
    </w:p>
    <w:p>
      <w:pPr>
        <w:spacing w:before="160" w:after="60"/>
      </w:pPr>
      <w:r>
        <w:rPr>
          <w:rFonts w:ascii="Arial" w:hAnsi="Arial"/>
          <w:b/>
          <w:sz w:val="26"/>
        </w:rPr>
        <w:t>6. Operational &amp; Compliance Monitoring</w:t>
      </w:r>
    </w:p>
    <w:p>
      <w:pPr>
        <w:pStyle w:val="ListBullet"/>
        <w:spacing w:after="20"/>
      </w:pPr>
      <w:r>
        <w:t>Mining operations and production</w:t>
      </w:r>
    </w:p>
    <w:p>
      <w:pPr>
        <w:pStyle w:val="ListBullet"/>
        <w:spacing w:after="20"/>
      </w:pPr>
      <w:r>
        <w:t>Transportation and inspections</w:t>
      </w:r>
    </w:p>
    <w:p>
      <w:pPr>
        <w:pStyle w:val="ListBullet"/>
        <w:spacing w:after="20"/>
      </w:pPr>
      <w:r>
        <w:t>Permit and lease conditions</w:t>
      </w:r>
    </w:p>
    <w:p>
      <w:pPr>
        <w:pStyle w:val="ListBullet"/>
        <w:spacing w:after="20"/>
      </w:pPr>
      <w:r>
        <w:t>Environmental / regulatory compliance</w:t>
      </w:r>
    </w:p>
    <w:p>
      <w:pPr>
        <w:pStyle w:val="ListBullet"/>
        <w:spacing w:after="20"/>
      </w:pPr>
      <w:r>
        <w:t>Violations and enforcement actions</w:t>
      </w:r>
    </w:p>
    <w:p>
      <w:pPr>
        <w:spacing w:after="80"/>
      </w:pPr>
      <w:r>
        <w:t>Where appropriate, spatial and temporal information will be combined to identify changes and anomalies.</w:t>
      </w:r>
    </w:p>
    <w:p>
      <w:pPr>
        <w:spacing w:before="160" w:after="60"/>
      </w:pPr>
      <w:r>
        <w:rPr>
          <w:rFonts w:ascii="Arial" w:hAnsi="Arial"/>
          <w:b/>
          <w:sz w:val="26"/>
        </w:rPr>
        <w:t>7. Remote Sensing &amp; GeoAI – Future-Ready Capability</w:t>
      </w:r>
    </w:p>
    <w:p>
      <w:pPr>
        <w:spacing w:after="80"/>
      </w:pPr>
      <w:r>
        <w:t>The platform will be designed to incorporate satellite imagery, drone data and other spatial observations. Potential applications include:</w:t>
      </w:r>
    </w:p>
    <w:p>
      <w:pPr>
        <w:pStyle w:val="ListBullet"/>
        <w:spacing w:after="20"/>
      </w:pPr>
      <w:r>
        <w:t>Detection of mining-area changes</w:t>
      </w:r>
    </w:p>
    <w:p>
      <w:pPr>
        <w:pStyle w:val="ListBullet"/>
        <w:spacing w:after="20"/>
      </w:pPr>
      <w:r>
        <w:t>Excavation / change detection</w:t>
      </w:r>
    </w:p>
    <w:p>
      <w:pPr>
        <w:pStyle w:val="ListBullet"/>
        <w:spacing w:after="20"/>
      </w:pPr>
      <w:r>
        <w:t>Identification of mining outside permitted boundaries</w:t>
      </w:r>
    </w:p>
    <w:p>
      <w:pPr>
        <w:pStyle w:val="ListBullet"/>
        <w:spacing w:after="20"/>
      </w:pPr>
      <w:r>
        <w:t>Stockpile monitoring</w:t>
      </w:r>
    </w:p>
    <w:p>
      <w:pPr>
        <w:pStyle w:val="ListBullet"/>
        <w:spacing w:after="20"/>
      </w:pPr>
      <w:r>
        <w:t>Temporal comparison of mine areas</w:t>
      </w:r>
    </w:p>
    <w:p>
      <w:pPr>
        <w:pStyle w:val="ListBullet"/>
        <w:spacing w:after="20"/>
      </w:pPr>
      <w:r>
        <w:t>Identification of potential unauthorized activities</w:t>
      </w:r>
    </w:p>
    <w:p>
      <w:pPr>
        <w:pStyle w:val="ListBullet"/>
        <w:spacing w:after="20"/>
      </w:pPr>
      <w:r>
        <w:t>Automated spatial alerts</w:t>
      </w:r>
    </w:p>
    <w:p>
      <w:pPr>
        <w:spacing w:after="80"/>
      </w:pPr>
      <w:r>
        <w:t>AI/ML models can subsequently be integrated into the platform without changing the core GIS architecture.</w:t>
      </w:r>
    </w:p>
    <w:p>
      <w:pPr>
        <w:spacing w:before="160" w:after="60"/>
      </w:pPr>
      <w:r>
        <w:rPr>
          <w:rFonts w:ascii="Arial" w:hAnsi="Arial"/>
          <w:b/>
          <w:sz w:val="26"/>
        </w:rPr>
        <w:t>8. Integration &amp; Interoperability</w:t>
      </w:r>
    </w:p>
    <w:p>
      <w:pPr>
        <w:spacing w:after="80"/>
      </w:pPr>
      <w:r>
        <w:t>The platform will expose standardized REST APIs and OGC services for integration with existing and future departmental systems.</w:t>
      </w:r>
    </w:p>
    <w:p>
      <w:pPr>
        <w:pStyle w:val="ListBullet"/>
        <w:spacing w:after="20"/>
      </w:pPr>
      <w:r>
        <w:t>Existing departmental applications</w:t>
      </w:r>
    </w:p>
    <w:p>
      <w:pPr>
        <w:pStyle w:val="ListBullet"/>
        <w:spacing w:after="20"/>
      </w:pPr>
      <w:r>
        <w:t>Revenue systems</w:t>
      </w:r>
    </w:p>
    <w:p>
      <w:pPr>
        <w:pStyle w:val="ListBullet"/>
        <w:spacing w:after="20"/>
      </w:pPr>
      <w:r>
        <w:t>Survey systems</w:t>
      </w:r>
    </w:p>
    <w:p>
      <w:pPr>
        <w:pStyle w:val="ListBullet"/>
        <w:spacing w:after="20"/>
      </w:pPr>
      <w:r>
        <w:t>e-Governance systems</w:t>
      </w:r>
    </w:p>
    <w:p>
      <w:pPr>
        <w:pStyle w:val="ListBullet"/>
        <w:spacing w:after="20"/>
      </w:pPr>
      <w:r>
        <w:t>Mobile applications</w:t>
      </w:r>
    </w:p>
    <w:p>
      <w:pPr>
        <w:pStyle w:val="ListBullet"/>
        <w:spacing w:after="20"/>
      </w:pPr>
      <w:r>
        <w:t>External Government databases</w:t>
      </w:r>
    </w:p>
    <w:p>
      <w:pPr>
        <w:pStyle w:val="ListBullet"/>
        <w:spacing w:after="20"/>
      </w:pPr>
      <w:r>
        <w:t>Authentication / SSO</w:t>
      </w:r>
    </w:p>
    <w:p>
      <w:pPr>
        <w:pStyle w:val="ListBullet"/>
        <w:spacing w:after="20"/>
      </w:pPr>
      <w:r>
        <w:t>Document management systems</w:t>
      </w:r>
    </w:p>
    <w:p>
      <w:pPr>
        <w:spacing w:after="80"/>
      </w:pPr>
      <w:r>
        <w:t>The integration layer will be designed to minimize vendor lock-in and support future systems.</w:t>
      </w:r>
    </w:p>
    <w:p>
      <w:pPr>
        <w:spacing w:before="160" w:after="60"/>
      </w:pPr>
      <w:r>
        <w:rPr>
          <w:rFonts w:ascii="Arial" w:hAnsi="Arial"/>
          <w:b/>
          <w:sz w:val="26"/>
        </w:rPr>
        <w:t>9. Security &amp; Governance</w:t>
      </w:r>
    </w:p>
    <w:p>
      <w:pPr>
        <w:pStyle w:val="ListBullet"/>
        <w:spacing w:after="20"/>
      </w:pPr>
      <w:r>
        <w:t>Role-based access control</w:t>
      </w:r>
    </w:p>
    <w:p>
      <w:pPr>
        <w:pStyle w:val="ListBullet"/>
        <w:spacing w:after="20"/>
      </w:pPr>
      <w:r>
        <w:t>User and organization hierarchy</w:t>
      </w:r>
    </w:p>
    <w:p>
      <w:pPr>
        <w:pStyle w:val="ListBullet"/>
        <w:spacing w:after="20"/>
      </w:pPr>
      <w:r>
        <w:t>Authentication and authorization</w:t>
      </w:r>
    </w:p>
    <w:p>
      <w:pPr>
        <w:pStyle w:val="ListBullet"/>
        <w:spacing w:after="20"/>
      </w:pPr>
      <w:r>
        <w:t>Audit trails</w:t>
      </w:r>
    </w:p>
    <w:p>
      <w:pPr>
        <w:pStyle w:val="ListBullet"/>
        <w:spacing w:after="20"/>
      </w:pPr>
      <w:r>
        <w:t>Secure API access</w:t>
      </w:r>
    </w:p>
    <w:p>
      <w:pPr>
        <w:pStyle w:val="ListBullet"/>
        <w:spacing w:after="20"/>
      </w:pPr>
      <w:r>
        <w:t>Data backup and recovery</w:t>
      </w:r>
    </w:p>
    <w:p>
      <w:pPr>
        <w:pStyle w:val="ListBullet"/>
        <w:spacing w:after="20"/>
      </w:pPr>
      <w:r>
        <w:t>Database security</w:t>
      </w:r>
    </w:p>
    <w:p>
      <w:pPr>
        <w:pStyle w:val="ListBullet"/>
        <w:spacing w:after="20"/>
      </w:pPr>
      <w:r>
        <w:t>Activity logging</w:t>
      </w:r>
    </w:p>
    <w:p>
      <w:pPr>
        <w:pStyle w:val="ListBullet"/>
        <w:spacing w:after="20"/>
      </w:pPr>
      <w:r>
        <w:t>Controlled access to sensitive information</w:t>
      </w:r>
    </w:p>
    <w:p>
      <w:pPr>
        <w:spacing w:before="160" w:after="60"/>
      </w:pPr>
      <w:r>
        <w:rPr>
          <w:rFonts w:ascii="Arial" w:hAnsi="Arial"/>
          <w:b/>
          <w:sz w:val="26"/>
        </w:rPr>
        <w:t>10. Testing, Deployment &amp; Training</w:t>
      </w:r>
    </w:p>
    <w:p>
      <w:pPr>
        <w:spacing w:after="80"/>
      </w:pPr>
      <w:r>
        <w:t>The implementation will include:</w:t>
      </w:r>
    </w:p>
    <w:p>
      <w:pPr>
        <w:pStyle w:val="ListBullet"/>
        <w:spacing w:after="20"/>
      </w:pPr>
      <w:r>
        <w:t>Unit testing</w:t>
      </w:r>
    </w:p>
    <w:p>
      <w:pPr>
        <w:pStyle w:val="ListBullet"/>
        <w:spacing w:after="20"/>
      </w:pPr>
      <w:r>
        <w:t>Integration testing</w:t>
      </w:r>
    </w:p>
    <w:p>
      <w:pPr>
        <w:pStyle w:val="ListBullet"/>
        <w:spacing w:after="20"/>
      </w:pPr>
      <w:r>
        <w:t>GIS / data validation</w:t>
      </w:r>
    </w:p>
    <w:p>
      <w:pPr>
        <w:pStyle w:val="ListBullet"/>
        <w:spacing w:after="20"/>
      </w:pPr>
      <w:r>
        <w:t>Performance testing</w:t>
      </w:r>
    </w:p>
    <w:p>
      <w:pPr>
        <w:pStyle w:val="ListBullet"/>
        <w:spacing w:after="20"/>
      </w:pPr>
      <w:r>
        <w:t>Security testing</w:t>
      </w:r>
    </w:p>
    <w:p>
      <w:pPr>
        <w:pStyle w:val="ListBullet"/>
        <w:spacing w:after="20"/>
      </w:pPr>
      <w:r>
        <w:t>User Acceptance Testing (UAT)</w:t>
      </w:r>
    </w:p>
    <w:p>
      <w:pPr>
        <w:pStyle w:val="ListBullet"/>
        <w:spacing w:after="20"/>
      </w:pPr>
      <w:r>
        <w:t>Production deployment</w:t>
      </w:r>
    </w:p>
    <w:p>
      <w:pPr>
        <w:spacing w:after="80"/>
      </w:pPr>
      <w:r>
        <w:t>Training will be provided for administrators, GIS users, departmental officers, field users and management users. User manuals and technical documentation will also be provided.</w:t>
      </w:r>
    </w:p>
    <w:p>
      <w:pPr>
        <w:spacing w:before="160" w:after="60"/>
      </w:pPr>
      <w:r>
        <w:rPr>
          <w:rFonts w:ascii="Arial" w:hAnsi="Arial"/>
          <w:b/>
          <w:sz w:val="26"/>
        </w:rPr>
        <w:t>11. Proposed Delivery Strategy</w:t>
      </w:r>
    </w:p>
    <w:p>
      <w:pPr>
        <w:spacing w:after="80"/>
      </w:pPr>
      <w:r>
        <w:t>The system will be delivered using an Agile and incremental approach.</w:t>
      </w:r>
    </w:p>
    <w:p>
      <w:pPr>
        <w:spacing w:after="80"/>
      </w:pPr>
      <w:r>
        <w:t>Initial MVP:</w:t>
      </w:r>
    </w:p>
    <w:p>
      <w:pPr>
        <w:pStyle w:val="ListBullet"/>
        <w:spacing w:after="20"/>
      </w:pPr>
      <w:r>
        <w:t>Master Data → Lease GIS → Web-GIS → Search → Monitoring → Dashboards → Reports</w:t>
      </w:r>
    </w:p>
    <w:p>
      <w:pPr>
        <w:spacing w:after="80"/>
      </w:pPr>
      <w:r>
        <w:t>Subsequent capabilities:</w:t>
      </w:r>
    </w:p>
    <w:p>
      <w:pPr>
        <w:pStyle w:val="ListBullet"/>
        <w:spacing w:after="20"/>
      </w:pPr>
      <w:r>
        <w:t>Revenue → Compliance → Mobile → Remote Sensing → AI → Advanced Decision Support</w:t>
      </w:r>
    </w:p>
    <w:p>
      <w:pPr>
        <w:spacing w:after="80"/>
      </w:pPr>
      <w:r>
        <w:t>This approach will allow the Department to start using the system early while remaining modules are progressively developed and integrated.</w:t>
      </w:r>
    </w:p>
    <w:p>
      <w:pPr>
        <w:spacing w:before="160" w:after="60"/>
      </w:pPr>
      <w:r>
        <w:rPr>
          <w:rFonts w:ascii="Arial" w:hAnsi="Arial"/>
          <w:b/>
          <w:sz w:val="26"/>
        </w:rPr>
        <w:t>12. Expected Outcome</w:t>
      </w:r>
    </w:p>
    <w:p>
      <w:pPr>
        <w:spacing w:after="80"/>
      </w:pPr>
      <w:r>
        <w:t>The proposed platform will provide the Department with a single integrated spatial information and mine monitoring environment, enabling:</w:t>
      </w:r>
    </w:p>
    <w:p>
      <w:pPr>
        <w:jc w:val="center"/>
      </w:pPr>
      <w:r>
        <w:rPr>
          <w:b/>
          <w:sz w:val="24"/>
        </w:rPr>
        <w:t>“One Lease – One Digital Record – One Spatial View – Complete Lifecycle Monitoring.”</w:t>
      </w:r>
    </w:p>
    <w:p>
      <w:pPr>
        <w:spacing w:after="80"/>
      </w:pPr>
      <w:r>
        <w:t>The architecture will be scalable to cover the entire State and provide a foundation for future GeoAI, remote sensing, digital twin, mobile monitoring and advanced analytics capabilities.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Implementation Approach &amp; Plan – Web-Based GIS-Enabled Mine Monitoring Platform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