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80"/>
        <w:jc w:val="center"/>
      </w:pPr>
      <w:r>
        <w:rPr>
          <w:rFonts w:ascii="Arial" w:cs="Arial" w:eastAsia="Arial" w:hAnsi="Arial"/>
          <w:b/>
          <w:bCs/>
          <w:color w:val="1F4E79"/>
          <w:sz w:val="48"/>
          <w:szCs w:val="48"/>
        </w:rPr>
        <w:t xml:space="preserve">Guided Capstone Project Report</w:t>
      </w:r>
    </w:p>
    <w:p>
      <w:pPr>
        <w:pBdr>
          <w:bottom w:val="single" w:color="2E75B6" w:sz="12" w:space="6"/>
        </w:pBdr>
        <w:spacing w:after="0" w:before="0"/>
        <w:jc w:val="center"/>
      </w:pPr>
      <w:r>
        <w:rPr>
          <w:rFonts w:ascii="Arial" w:cs="Arial" w:eastAsia="Arial" w:hAnsi="Arial"/>
          <w:i/>
          <w:iCs/>
          <w:color w:val="2E75B6"/>
          <w:sz w:val="24"/>
          <w:szCs w:val="24"/>
        </w:rPr>
        <w:t xml:space="preserve">Big Mountain Resort — Ticket Pricing Strategy</w:t>
      </w:r>
    </w:p>
    <w:p>
      <w:pPr>
        <w:spacing w:after="0" w:before="140"/>
      </w:pPr>
      <w:r>
        <w:t xml:space="preserve"/>
      </w:r>
    </w:p>
    <w:p>
      <w:pPr>
        <w:pBdr>
          <w:bottom w:val="single" w:color="2E75B6" w:sz="6" w:space="3"/>
        </w:pBdr>
        <w:spacing w:after="0" w:before="200"/>
      </w:pPr>
      <w:r>
        <w:rPr>
          <w:rFonts w:ascii="Arial" w:cs="Arial" w:eastAsia="Arial" w:hAnsi="Arial"/>
          <w:b/>
          <w:bCs/>
          <w:color w:val="1F4E79"/>
          <w:sz w:val="24"/>
          <w:szCs w:val="24"/>
        </w:rPr>
        <w:t xml:space="preserve">Problem Statement</w:t>
      </w:r>
    </w:p>
    <w:p>
      <w:pPr>
        <w:spacing w:after="0" w:before="50"/>
      </w:pPr>
      <w:r>
        <w:t xml:space="preserve"/>
      </w:r>
    </w:p>
    <w:p>
      <w:pPr>
        <w:spacing w:after="48" w:before="48"/>
        <w:jc w:val="both"/>
      </w:pPr>
      <w:r>
        <w:rPr>
          <w:rFonts w:ascii="Arial" w:cs="Arial" w:eastAsia="Arial" w:hAnsi="Arial"/>
          <w:color w:val="1A1A1A"/>
          <w:sz w:val="20"/>
          <w:szCs w:val="20"/>
        </w:rPr>
        <w:t xml:space="preserve">Big Mountain Resort (Whitefish, MT) charges $81 for an adult weekend lift ticket while offering facilities that rank in the top 10–20% nationally — including a 2,353 ft vertical drop, 600 acres of snow making, 3 fast quads, 105 runs, and 3,000 acres of skiable terrain. With a new chairlift adding $1.54M/year in operating costs, the business needed data-driven guidance on whether and how much to raise prices, and which operational changes offer the best return.</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Data Wrangling</w:t>
      </w:r>
    </w:p>
    <w:p>
      <w:pPr>
        <w:spacing w:after="0" w:before="50"/>
      </w:pPr>
      <w:r>
        <w:t xml:space="preserve"/>
      </w:r>
    </w:p>
    <w:p>
      <w:pPr>
        <w:spacing w:after="48" w:before="48"/>
        <w:jc w:val="both"/>
      </w:pPr>
      <w:r>
        <w:rPr>
          <w:rFonts w:ascii="Arial" w:cs="Arial" w:eastAsia="Arial" w:hAnsi="Arial"/>
          <w:color w:val="1A1A1A"/>
          <w:sz w:val="20"/>
          <w:szCs w:val="20"/>
        </w:rPr>
        <w:t xml:space="preserve">The ski resort dataset started with 330 entries and 25 features. Key cleaning steps:</w:t>
      </w:r>
    </w:p>
    <w:p>
      <w:pPr>
        <w:pStyle w:val="ListParagraph"/>
        <w:numPr>
          <w:ilvl w:val="0"/>
          <w:numId w:val="2"/>
        </w:numPr>
        <w:spacing w:after="28" w:before="28"/>
      </w:pPr>
      <w:r>
        <w:rPr>
          <w:rFonts w:ascii="Arial" w:cs="Arial" w:eastAsia="Arial" w:hAnsi="Arial"/>
          <w:b/>
          <w:bCs/>
          <w:color w:val="1A1A1A"/>
          <w:sz w:val="20"/>
          <w:szCs w:val="20"/>
        </w:rPr>
        <w:t xml:space="preserve">Corrected a snow making outlier</w:t>
      </w:r>
      <w:r>
        <w:rPr>
          <w:rFonts w:ascii="Arial" w:cs="Arial" w:eastAsia="Arial" w:hAnsi="Arial"/>
          <w:color w:val="1A1A1A"/>
          <w:sz w:val="20"/>
          <w:szCs w:val="20"/>
        </w:rPr>
        <w:t xml:space="preserve"> at Heavenly Mountain (3,379 → 2,880 acres, ~60% of skiable terrain).</w:t>
      </w:r>
    </w:p>
    <w:p>
      <w:pPr>
        <w:pStyle w:val="ListParagraph"/>
        <w:numPr>
          <w:ilvl w:val="0"/>
          <w:numId w:val="2"/>
        </w:numPr>
        <w:spacing w:after="28" w:before="28"/>
      </w:pPr>
      <w:r>
        <w:rPr>
          <w:rFonts w:ascii="Arial" w:cs="Arial" w:eastAsia="Arial" w:hAnsi="Arial"/>
          <w:b/>
          <w:bCs/>
          <w:color w:val="1A1A1A"/>
          <w:sz w:val="20"/>
          <w:szCs w:val="20"/>
        </w:rPr>
        <w:t xml:space="preserve">Dropped the fastEight column</w:t>
      </w:r>
      <w:r>
        <w:rPr>
          <w:rFonts w:ascii="Arial" w:cs="Arial" w:eastAsia="Arial" w:hAnsi="Arial"/>
          <w:color w:val="1A1A1A"/>
          <w:sz w:val="20"/>
          <w:szCs w:val="20"/>
        </w:rPr>
        <w:t xml:space="preserve"> — only 1 of 164 resorts had a fast eight-person lift; no discriminating signal.</w:t>
      </w:r>
    </w:p>
    <w:p>
      <w:pPr>
        <w:pStyle w:val="ListParagraph"/>
        <w:numPr>
          <w:ilvl w:val="0"/>
          <w:numId w:val="2"/>
        </w:numPr>
        <w:spacing w:after="28" w:before="28"/>
      </w:pPr>
      <w:r>
        <w:rPr>
          <w:rFonts w:ascii="Arial" w:cs="Arial" w:eastAsia="Arial" w:hAnsi="Arial"/>
          <w:b/>
          <w:bCs/>
          <w:color w:val="1A1A1A"/>
          <w:sz w:val="20"/>
          <w:szCs w:val="20"/>
        </w:rPr>
        <w:t xml:space="preserve">Removed 4 rows missing AdultWeekend price</w:t>
      </w:r>
      <w:r>
        <w:rPr>
          <w:rFonts w:ascii="Arial" w:cs="Arial" w:eastAsia="Arial" w:hAnsi="Arial"/>
          <w:color w:val="1A1A1A"/>
          <w:sz w:val="20"/>
          <w:szCs w:val="20"/>
        </w:rPr>
        <w:t xml:space="preserve"> (the target variable). Final dataset: 277 resorts × 25 features.</w:t>
      </w:r>
    </w:p>
    <w:p>
      <w:pPr>
        <w:pStyle w:val="ListParagraph"/>
        <w:numPr>
          <w:ilvl w:val="0"/>
          <w:numId w:val="2"/>
        </w:numPr>
        <w:spacing w:after="28" w:before="28"/>
      </w:pPr>
      <w:r>
        <w:rPr>
          <w:rFonts w:ascii="Arial" w:cs="Arial" w:eastAsia="Arial" w:hAnsi="Arial"/>
          <w:b/>
          <w:bCs/>
          <w:color w:val="1A1A1A"/>
          <w:sz w:val="20"/>
          <w:szCs w:val="20"/>
        </w:rPr>
        <w:t xml:space="preserve">Merged U.S. state population and area data</w:t>
      </w:r>
      <w:r>
        <w:rPr>
          <w:rFonts w:ascii="Arial" w:cs="Arial" w:eastAsia="Arial" w:hAnsi="Arial"/>
          <w:color w:val="1A1A1A"/>
          <w:sz w:val="20"/>
          <w:szCs w:val="20"/>
        </w:rPr>
        <w:t xml:space="preserve"> to derive resort density features (resorts per 100K capita and per 100K sq miles).</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Exploratory Data Analysis</w:t>
      </w:r>
    </w:p>
    <w:p>
      <w:pPr>
        <w:spacing w:after="0" w:before="50"/>
      </w:pPr>
      <w:r>
        <w:t xml:space="preserve"/>
      </w:r>
    </w:p>
    <w:p>
      <w:pPr>
        <w:spacing w:after="48" w:before="48"/>
        <w:jc w:val="both"/>
      </w:pPr>
      <w:r>
        <w:rPr>
          <w:rFonts w:ascii="Arial" w:cs="Arial" w:eastAsia="Arial" w:hAnsi="Arial"/>
          <w:color w:val="1A1A1A"/>
          <w:sz w:val="20"/>
          <w:szCs w:val="20"/>
        </w:rPr>
        <w:t xml:space="preserve">State-level analysis revealed Colorado leads in total skiable area (43,682 acres) and days open (3,258); New York leads in resort count (33). Montana ranked 4th in total skiable area and had above-average resort density per capita (1.12 per 100K). PCA on 7 state-level features explained 77% of variance in 2 components — plotting states colored by average ticket price quartile showed no geographic clustering, justifying treating all states equally in modeling. Feature correlation analysis found fastQuads, Runs, Snow Making_ac, vertical_drop, and total_chairs most positively correlated with ticket price. SkiableTerrain_ac showed a slight negative correlation — likely a market-segmentation effect where high-volume, large-terrain resorts price lower per ticket.</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Preprocessing &amp; Feature Engineering</w:t>
      </w:r>
    </w:p>
    <w:p>
      <w:pPr>
        <w:spacing w:after="0" w:before="50"/>
      </w:pPr>
      <w:r>
        <w:t xml:space="preserve"/>
      </w:r>
    </w:p>
    <w:p>
      <w:pPr>
        <w:spacing w:after="48" w:before="48"/>
        <w:jc w:val="both"/>
      </w:pPr>
      <w:r>
        <w:rPr>
          <w:rFonts w:ascii="Arial" w:cs="Arial" w:eastAsia="Arial" w:hAnsi="Arial"/>
          <w:color w:val="1A1A1A"/>
          <w:sz w:val="20"/>
          <w:szCs w:val="20"/>
        </w:rPr>
        <w:t xml:space="preserve">Four state-level competition ratio features were engineered (e.g., resort's share of state skiable area, night skiing area). Four transportation efficiency ratios were also created (chairs per run, fast quads per skiable acre, etc.). All modeling used scikit-learn Pipelines: (1) SimpleImputer — median strategy for missing values; (2) StandardScaler — zero mean, unit variance; (3) SelectKBest with f_regression — feature selection tuned via cross-validation; (4) model estimator. Data was split 70/30 train/test (random_state=47). Big Mountain was excluded from all training.</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Algorithms, Evaluation Metrics &amp; Winning Model</w:t>
      </w:r>
    </w:p>
    <w:p>
      <w:pPr>
        <w:spacing w:after="0" w:before="50"/>
      </w:pPr>
      <w:r>
        <w:t xml:space="preserve"/>
      </w:r>
    </w:p>
    <w:p>
      <w:pPr>
        <w:spacing w:after="48" w:before="48"/>
        <w:jc w:val="both"/>
      </w:pPr>
      <w:r>
        <w:rPr>
          <w:rFonts w:ascii="Arial" w:cs="Arial" w:eastAsia="Arial" w:hAnsi="Arial"/>
          <w:color w:val="1A1A1A"/>
          <w:sz w:val="20"/>
          <w:szCs w:val="20"/>
        </w:rPr>
        <w:t xml:space="preserve">Two models were trained and compared using 5-fold cross-validation. Metrics: </w:t>
      </w:r>
      <w:r>
        <w:rPr>
          <w:rFonts w:ascii="Arial" w:cs="Arial" w:eastAsia="Arial" w:hAnsi="Arial"/>
          <w:b/>
          <w:bCs/>
          <w:color w:val="1A1A1A"/>
          <w:sz w:val="20"/>
          <w:szCs w:val="20"/>
        </w:rPr>
        <w:t xml:space="preserve">R²</w:t>
      </w:r>
      <w:r>
        <w:rPr>
          <w:rFonts w:ascii="Arial" w:cs="Arial" w:eastAsia="Arial" w:hAnsi="Arial"/>
          <w:color w:val="1A1A1A"/>
          <w:sz w:val="20"/>
          <w:szCs w:val="20"/>
        </w:rPr>
        <w:t xml:space="preserve"> (variance explained), </w:t>
      </w:r>
      <w:r>
        <w:rPr>
          <w:rFonts w:ascii="Arial" w:cs="Arial" w:eastAsia="Arial" w:hAnsi="Arial"/>
          <w:b/>
          <w:bCs/>
          <w:color w:val="1A1A1A"/>
          <w:sz w:val="20"/>
          <w:szCs w:val="20"/>
        </w:rPr>
        <w:t xml:space="preserve">MAE</w:t>
      </w:r>
      <w:r>
        <w:rPr>
          <w:rFonts w:ascii="Arial" w:cs="Arial" w:eastAsia="Arial" w:hAnsi="Arial"/>
          <w:color w:val="1A1A1A"/>
          <w:sz w:val="20"/>
          <w:szCs w:val="20"/>
        </w:rPr>
        <w:t xml:space="preserve"> (mean absolute dollar error — most interpretable), and </w:t>
      </w:r>
      <w:r>
        <w:rPr>
          <w:rFonts w:ascii="Arial" w:cs="Arial" w:eastAsia="Arial" w:hAnsi="Arial"/>
          <w:b/>
          <w:bCs/>
          <w:color w:val="1A1A1A"/>
          <w:sz w:val="20"/>
          <w:szCs w:val="20"/>
        </w:rPr>
        <w:t xml:space="preserve">MSE</w:t>
      </w:r>
      <w:r>
        <w:rPr>
          <w:rFonts w:ascii="Arial" w:cs="Arial" w:eastAsia="Arial" w:hAnsi="Arial"/>
          <w:color w:val="1A1A1A"/>
          <w:sz w:val="20"/>
          <w:szCs w:val="20"/>
        </w:rPr>
        <w:t xml:space="preserve">. Hyperparameters (k for SelectKBest; n_estimators, imputer strategy, scaling for RF) were tuned via GridSearchCV — never evaluated on the test set directly.</w:t>
      </w:r>
    </w:p>
    <w:p>
      <w:pPr>
        <w:spacing w:after="0" w:before="55"/>
      </w:pPr>
      <w:r>
        <w:t xml:space="preserve"/>
      </w:r>
    </w:p>
    <w:p>
      <w:pPr>
        <w:spacing w:after="48" w:before="48"/>
        <w:jc w:val="both"/>
      </w:pPr>
      <w:r>
        <w:rPr>
          <w:rFonts w:ascii="Arial" w:cs="Arial" w:eastAsia="Arial" w:hAnsi="Arial"/>
          <w:b/>
          <w:bCs/>
          <w:color w:val="1A1A1A"/>
          <w:sz w:val="20"/>
          <w:szCs w:val="20"/>
        </w:rPr>
        <w:t xml:space="preserve">Baseline (mean predictor): </w:t>
      </w:r>
      <w:r>
        <w:rPr>
          <w:rFonts w:ascii="Arial" w:cs="Arial" w:eastAsia="Arial" w:hAnsi="Arial"/>
          <w:color w:val="1A1A1A"/>
          <w:sz w:val="20"/>
          <w:szCs w:val="20"/>
        </w:rPr>
        <w:t xml:space="preserve">MAE ~$19. Linear regression (best k=8): CV MAE $10.50 ±$1.62, test MAE $11.79. </w:t>
      </w:r>
      <w:r>
        <w:rPr>
          <w:rFonts w:ascii="Arial" w:cs="Arial" w:eastAsia="Arial" w:hAnsi="Arial"/>
          <w:b/>
          <w:bCs/>
          <w:color w:val="1A1A1A"/>
          <w:sz w:val="20"/>
          <w:szCs w:val="20"/>
        </w:rPr>
        <w:t xml:space="preserve">Random forest (selected): CV MAE $9.64 ±$1.35, test MAE $9.54.</w:t>
      </w:r>
      <w:r>
        <w:rPr>
          <w:rFonts w:ascii="Arial" w:cs="Arial" w:eastAsia="Arial" w:hAnsi="Arial"/>
          <w:color w:val="1A1A1A"/>
          <w:sz w:val="20"/>
          <w:szCs w:val="20"/>
        </w:rPr>
        <w:t xml:space="preserve"> The RF outperformed on both CV and test MAE with lower variance across folds. Top feature importances: fastQuads, Runs, Snow Making_ac, vertical_drop — consistent with EDA. A learning curve confirmed performance had plateaued; more data is unlikely to help with the current feature set.</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Winning Model Prediction &amp; Scenario Modeling</w:t>
      </w:r>
    </w:p>
    <w:p>
      <w:pPr>
        <w:spacing w:after="0" w:before="50"/>
      </w:pPr>
      <w:r>
        <w:t xml:space="preserve"/>
      </w:r>
    </w:p>
    <w:p>
      <w:pPr>
        <w:spacing w:after="48" w:before="48"/>
        <w:jc w:val="both"/>
      </w:pPr>
      <w:r>
        <w:rPr>
          <w:rFonts w:ascii="Arial" w:cs="Arial" w:eastAsia="Arial" w:hAnsi="Arial"/>
          <w:color w:val="1A1A1A"/>
          <w:sz w:val="20"/>
          <w:szCs w:val="20"/>
        </w:rPr>
        <w:t xml:space="preserve">The random forest model — refit on all resorts except Big Mountain — predicts a market-supported price of </w:t>
      </w:r>
      <w:r>
        <w:rPr>
          <w:rFonts w:ascii="Arial" w:cs="Arial" w:eastAsia="Arial" w:hAnsi="Arial"/>
          <w:b/>
          <w:bCs/>
          <w:color w:val="107000"/>
          <w:sz w:val="20"/>
          <w:szCs w:val="20"/>
        </w:rPr>
        <w:t xml:space="preserve">$95.87</w:t>
      </w:r>
      <w:r>
        <w:rPr>
          <w:rFonts w:ascii="Arial" w:cs="Arial" w:eastAsia="Arial" w:hAnsi="Arial"/>
          <w:color w:val="1A1A1A"/>
          <w:sz w:val="20"/>
          <w:szCs w:val="20"/>
        </w:rPr>
        <w:t xml:space="preserve"> vs. the current </w:t>
      </w:r>
      <w:r>
        <w:rPr>
          <w:rFonts w:ascii="Arial" w:cs="Arial" w:eastAsia="Arial" w:hAnsi="Arial"/>
          <w:b/>
          <w:bCs/>
          <w:color w:val="C00000"/>
          <w:sz w:val="20"/>
          <w:szCs w:val="20"/>
        </w:rPr>
        <w:t xml:space="preserve">$81.00</w:t>
      </w:r>
      <w:r>
        <w:rPr>
          <w:rFonts w:ascii="Arial" w:cs="Arial" w:eastAsia="Arial" w:hAnsi="Arial"/>
          <w:color w:val="1A1A1A"/>
          <w:sz w:val="20"/>
          <w:szCs w:val="20"/>
        </w:rPr>
        <w:t xml:space="preserve"> (gap: $14.87, exceeding the model's MAE of $10.39). Scenario analysis assumed 350,000 visitors × 5 ticket-days/year: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60"/>
        <w:gridCol w:w="2200"/>
      </w:tblGrid>
      <w:tr>
        <w:tc>
          <w:tcPr>
            <w:tcW w:type="dxa" w:w="28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Scenario</w:t>
            </w:r>
          </w:p>
        </w:tc>
        <w:tc>
          <w:tcPr>
            <w:tcW w:type="dxa" w:w="18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Key Change</w:t>
            </w:r>
          </w:p>
        </w:tc>
        <w:tc>
          <w:tcPr>
            <w:tcW w:type="dxa" w:w="25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Ticket Price Δ</w:t>
            </w:r>
          </w:p>
        </w:tc>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Annual Revenue Δ</w:t>
            </w:r>
          </w:p>
        </w:tc>
      </w:tr>
      <w:tr>
        <w:tc>
          <w:tcPr>
            <w:tcW w:type="dxa" w:w="28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1a — Close 1 run</w:t>
            </w:r>
          </w:p>
        </w:tc>
        <w:tc>
          <w:tcPr>
            <w:tcW w:type="dxa" w:w="18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val="false"/>
                <w:bCs w:val="false"/>
                <w:color w:val="1A1A1A"/>
                <w:sz w:val="18"/>
                <w:szCs w:val="18"/>
              </w:rPr>
              <w:t xml:space="preserve">−1 run</w:t>
            </w:r>
          </w:p>
        </w:tc>
        <w:tc>
          <w:tcPr>
            <w:tcW w:type="dxa" w:w="256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$0.00</w:t>
            </w:r>
          </w:p>
        </w:tc>
        <w:tc>
          <w:tcPr>
            <w:tcW w:type="dxa" w:w="22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$0</w:t>
            </w:r>
          </w:p>
        </w:tc>
      </w:tr>
      <w:tr>
        <w:tc>
          <w:tcPr>
            <w:tcW w:type="dxa" w:w="28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1b-c — Close 2–5 runs</w:t>
            </w:r>
          </w:p>
        </w:tc>
        <w:tc>
          <w:tcPr>
            <w:tcW w:type="dxa" w:w="18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val="false"/>
                <w:bCs w:val="false"/>
                <w:color w:val="1A1A1A"/>
                <w:sz w:val="18"/>
                <w:szCs w:val="18"/>
              </w:rPr>
              <w:t xml:space="preserve">−2 to −5 runs</w:t>
            </w:r>
          </w:p>
        </w:tc>
        <w:tc>
          <w:tcPr>
            <w:tcW w:type="dxa" w:w="256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C00000"/>
                <w:sz w:val="18"/>
                <w:szCs w:val="18"/>
              </w:rPr>
              <w:t xml:space="preserve">−$0.41/ticket</w:t>
            </w:r>
          </w:p>
        </w:tc>
        <w:tc>
          <w:tcPr>
            <w:tcW w:type="dxa" w:w="22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C00000"/>
                <w:sz w:val="18"/>
                <w:szCs w:val="18"/>
              </w:rPr>
              <w:t xml:space="preserve">−$710K</w:t>
            </w:r>
          </w:p>
        </w:tc>
      </w:tr>
      <w:tr>
        <w:tc>
          <w:tcPr>
            <w:tcW w:type="dxa" w:w="28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1d — Close 6–10 runs</w:t>
            </w:r>
          </w:p>
        </w:tc>
        <w:tc>
          <w:tcPr>
            <w:tcW w:type="dxa" w:w="18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val="false"/>
                <w:bCs w:val="false"/>
                <w:color w:val="1A1A1A"/>
                <w:sz w:val="18"/>
                <w:szCs w:val="18"/>
              </w:rPr>
              <w:t xml:space="preserve">−6 to −10 runs</w:t>
            </w:r>
          </w:p>
        </w:tc>
        <w:tc>
          <w:tcPr>
            <w:tcW w:type="dxa" w:w="256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C00000"/>
                <w:sz w:val="18"/>
                <w:szCs w:val="18"/>
              </w:rPr>
              <w:t xml:space="preserve">−$1.26–$1.81</w:t>
            </w:r>
          </w:p>
        </w:tc>
        <w:tc>
          <w:tcPr>
            <w:tcW w:type="dxa" w:w="22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C00000"/>
                <w:sz w:val="18"/>
                <w:szCs w:val="18"/>
              </w:rPr>
              <w:t xml:space="preserve">−$2.2M–$3.2M</w:t>
            </w:r>
          </w:p>
        </w:tc>
      </w:tr>
      <w:tr>
        <w:tc>
          <w:tcPr>
            <w:tcW w:type="dxa" w:w="28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2 — Expand + chair ✓</w:t>
            </w:r>
          </w:p>
        </w:tc>
        <w:tc>
          <w:tcPr>
            <w:tcW w:type="dxa" w:w="18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val="false"/>
                <w:bCs w:val="false"/>
                <w:color w:val="1A1A1A"/>
                <w:sz w:val="18"/>
                <w:szCs w:val="18"/>
              </w:rPr>
              <w:t xml:space="preserve">+run, +150 ft, +1 chair</w:t>
            </w:r>
          </w:p>
        </w:tc>
        <w:tc>
          <w:tcPr>
            <w:tcW w:type="dxa" w:w="256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$+1.99/ticket</w:t>
            </w:r>
          </w:p>
        </w:tc>
        <w:tc>
          <w:tcPr>
            <w:tcW w:type="dxa" w:w="22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07000"/>
                <w:sz w:val="18"/>
                <w:szCs w:val="18"/>
              </w:rPr>
              <w:t xml:space="preserve">+$3,474,638</w:t>
            </w:r>
          </w:p>
        </w:tc>
      </w:tr>
      <w:tr>
        <w:tc>
          <w:tcPr>
            <w:tcW w:type="dxa" w:w="28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3 — Scenario 2 + snow</w:t>
            </w:r>
          </w:p>
        </w:tc>
        <w:tc>
          <w:tcPr>
            <w:tcW w:type="dxa" w:w="18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val="false"/>
                <w:bCs w:val="false"/>
                <w:color w:val="1A1A1A"/>
                <w:sz w:val="18"/>
                <w:szCs w:val="18"/>
              </w:rPr>
              <w:t xml:space="preserve">+2 ac snow making</w:t>
            </w:r>
          </w:p>
        </w:tc>
        <w:tc>
          <w:tcPr>
            <w:tcW w:type="dxa" w:w="256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07000"/>
                <w:sz w:val="18"/>
                <w:szCs w:val="18"/>
              </w:rPr>
              <w:t xml:space="preserve">+$1.99/ticket</w:t>
            </w:r>
          </w:p>
        </w:tc>
        <w:tc>
          <w:tcPr>
            <w:tcW w:type="dxa" w:w="2200"/>
            <w:tcBorders>
              <w:top w:val="single" w:color="BBBBBB" w:sz="1"/>
              <w:left w:val="single" w:color="BBBBBB" w:sz="1"/>
              <w:bottom w:val="single" w:color="BBBBBB" w:sz="1"/>
              <w:right w:val="single" w:color="BBBBBB" w:sz="1"/>
            </w:tcBorders>
            <w:shd w:fill="EBF3FB" w:val="clear"/>
            <w:tcMar>
              <w:top w:type="dxa" w:w="65"/>
              <w:left w:type="dxa" w:w="110"/>
              <w:bottom w:type="dxa" w:w="65"/>
              <w:right w:type="dxa" w:w="110"/>
            </w:tcMar>
          </w:tcPr>
          <w:p>
            <w:pPr>
              <w:jc w:val="center"/>
            </w:pPr>
            <w:r>
              <w:rPr>
                <w:rFonts w:ascii="Arial" w:cs="Arial" w:eastAsia="Arial" w:hAnsi="Arial"/>
                <w:b/>
                <w:bCs/>
                <w:color w:val="107000"/>
                <w:sz w:val="18"/>
                <w:szCs w:val="18"/>
              </w:rPr>
              <w:t xml:space="preserve">+$3,474,638</w:t>
            </w:r>
          </w:p>
        </w:tc>
      </w:tr>
      <w:tr>
        <w:tc>
          <w:tcPr>
            <w:tcW w:type="dxa" w:w="28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4 — Longest run + snow</w:t>
            </w:r>
          </w:p>
        </w:tc>
        <w:tc>
          <w:tcPr>
            <w:tcW w:type="dxa" w:w="18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val="false"/>
                <w:bCs w:val="false"/>
                <w:color w:val="1A1A1A"/>
                <w:sz w:val="18"/>
                <w:szCs w:val="18"/>
              </w:rPr>
              <w:t xml:space="preserve">+0.2 mi, +4 ac snow</w:t>
            </w:r>
          </w:p>
        </w:tc>
        <w:tc>
          <w:tcPr>
            <w:tcW w:type="dxa" w:w="256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$0.00</w:t>
            </w:r>
          </w:p>
        </w:tc>
        <w:tc>
          <w:tcPr>
            <w:tcW w:type="dxa" w:w="2200"/>
            <w:tcBorders>
              <w:top w:val="single" w:color="BBBBBB" w:sz="1"/>
              <w:left w:val="single" w:color="BBBBBB" w:sz="1"/>
              <w:bottom w:val="single" w:color="BBBBBB" w:sz="1"/>
              <w:right w:val="single" w:color="BBBBBB" w:sz="1"/>
            </w:tcBorders>
            <w:shd w:fill="FFFFFF" w:val="clear"/>
            <w:tcMar>
              <w:top w:type="dxa" w:w="65"/>
              <w:left w:type="dxa" w:w="110"/>
              <w:bottom w:type="dxa" w:w="65"/>
              <w:right w:type="dxa" w:w="110"/>
            </w:tcMar>
          </w:tcPr>
          <w:p>
            <w:pPr>
              <w:jc w:val="center"/>
            </w:pPr>
            <w:r>
              <w:rPr>
                <w:rFonts w:ascii="Arial" w:cs="Arial" w:eastAsia="Arial" w:hAnsi="Arial"/>
                <w:b/>
                <w:bCs/>
                <w:color w:val="1A1A1A"/>
                <w:sz w:val="18"/>
                <w:szCs w:val="18"/>
              </w:rPr>
              <w:t xml:space="preserve">$0</w:t>
            </w:r>
          </w:p>
        </w:tc>
      </w:tr>
    </w:tbl>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Pricing Recommendation</w:t>
      </w:r>
    </w:p>
    <w:p>
      <w:pPr>
        <w:spacing w:after="0" w:before="50"/>
      </w:pPr>
      <w:r>
        <w:t xml:space="preserve"/>
      </w:r>
    </w:p>
    <w:p>
      <w:pPr>
        <w:pStyle w:val="ListParagraph"/>
        <w:numPr>
          <w:ilvl w:val="0"/>
          <w:numId w:val="2"/>
        </w:numPr>
        <w:spacing w:after="28" w:before="28"/>
      </w:pPr>
      <w:r>
        <w:rPr>
          <w:rFonts w:ascii="Arial" w:cs="Arial" w:eastAsia="Arial" w:hAnsi="Arial"/>
          <w:b/>
          <w:bCs/>
          <w:color w:val="1A1A1A"/>
          <w:sz w:val="20"/>
          <w:szCs w:val="20"/>
        </w:rPr>
        <w:t xml:space="preserve">Raise the adult weekend ticket to $88–92 in Season 1</w:t>
      </w:r>
      <w:r>
        <w:rPr>
          <w:rFonts w:ascii="Arial" w:cs="Arial" w:eastAsia="Arial" w:hAnsi="Arial"/>
          <w:color w:val="1A1A1A"/>
          <w:sz w:val="20"/>
          <w:szCs w:val="20"/>
        </w:rPr>
        <w:t xml:space="preserve"> — a defensible, phased first step closing roughly half the gap to the model ceiling, backed by objectively superior facilities.</w:t>
      </w:r>
    </w:p>
    <w:p>
      <w:pPr>
        <w:pStyle w:val="ListParagraph"/>
        <w:numPr>
          <w:ilvl w:val="0"/>
          <w:numId w:val="2"/>
        </w:numPr>
        <w:spacing w:after="28" w:before="28"/>
      </w:pPr>
      <w:r>
        <w:rPr>
          <w:rFonts w:ascii="Arial" w:cs="Arial" w:eastAsia="Arial" w:hAnsi="Arial"/>
          <w:b/>
          <w:bCs/>
          <w:color w:val="1A1A1A"/>
          <w:sz w:val="20"/>
          <w:szCs w:val="20"/>
        </w:rPr>
        <w:t xml:space="preserve">Pursue Scenario 2 (new run + 150 ft vertical + 1 chair lift)</w:t>
      </w:r>
      <w:r>
        <w:rPr>
          <w:rFonts w:ascii="Arial" w:cs="Arial" w:eastAsia="Arial" w:hAnsi="Arial"/>
          <w:color w:val="1A1A1A"/>
          <w:sz w:val="20"/>
          <w:szCs w:val="20"/>
        </w:rPr>
        <w:t xml:space="preserve">: +$3.47M gross / +$1.93M net after the $1.54M annual lift cost. Highest-return scenario by a wide margin.</w:t>
      </w:r>
    </w:p>
    <w:p>
      <w:pPr>
        <w:pStyle w:val="ListParagraph"/>
        <w:numPr>
          <w:ilvl w:val="0"/>
          <w:numId w:val="2"/>
        </w:numPr>
        <w:spacing w:after="28" w:before="28"/>
      </w:pPr>
      <w:r>
        <w:rPr>
          <w:rFonts w:ascii="Arial" w:cs="Arial" w:eastAsia="Arial" w:hAnsi="Arial"/>
          <w:b/>
          <w:bCs/>
          <w:color w:val="1A1A1A"/>
          <w:sz w:val="20"/>
          <w:szCs w:val="20"/>
        </w:rPr>
        <w:t xml:space="preserve">Pilot a 1-run closure</w:t>
      </w:r>
      <w:r>
        <w:rPr>
          <w:rFonts w:ascii="Arial" w:cs="Arial" w:eastAsia="Arial" w:hAnsi="Arial"/>
          <w:color w:val="1A1A1A"/>
          <w:sz w:val="20"/>
          <w:szCs w:val="20"/>
        </w:rPr>
        <w:t xml:space="preserve">: zero predicted price impact — a risk-free operational cost reduction to test.</w:t>
      </w:r>
    </w:p>
    <w:p>
      <w:pPr>
        <w:pStyle w:val="ListParagraph"/>
        <w:numPr>
          <w:ilvl w:val="0"/>
          <w:numId w:val="2"/>
        </w:numPr>
        <w:spacing w:after="28" w:before="28"/>
      </w:pPr>
      <w:r>
        <w:rPr>
          <w:rFonts w:ascii="Arial" w:cs="Arial" w:eastAsia="Arial" w:hAnsi="Arial"/>
          <w:b/>
          <w:bCs/>
          <w:color w:val="1A1A1A"/>
          <w:sz w:val="20"/>
          <w:szCs w:val="20"/>
        </w:rPr>
        <w:t xml:space="preserve">Do not invest in Scenarios 3 or 4</w:t>
      </w:r>
      <w:r>
        <w:rPr>
          <w:rFonts w:ascii="Arial" w:cs="Arial" w:eastAsia="Arial" w:hAnsi="Arial"/>
          <w:color w:val="1A1A1A"/>
          <w:sz w:val="20"/>
          <w:szCs w:val="20"/>
        </w:rPr>
        <w:t xml:space="preserve">: small snow making additions and longest-run extension offer no pricing leverage given Big Mountain's existing footprint.</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Conclusion</w:t>
      </w:r>
    </w:p>
    <w:p>
      <w:pPr>
        <w:spacing w:after="0" w:before="50"/>
      </w:pPr>
      <w:r>
        <w:t xml:space="preserve"/>
      </w:r>
    </w:p>
    <w:p>
      <w:pPr>
        <w:spacing w:after="48" w:before="48"/>
        <w:jc w:val="both"/>
      </w:pPr>
      <w:r>
        <w:rPr>
          <w:rFonts w:ascii="Arial" w:cs="Arial" w:eastAsia="Arial" w:hAnsi="Arial"/>
          <w:color w:val="1A1A1A"/>
          <w:sz w:val="20"/>
          <w:szCs w:val="20"/>
        </w:rPr>
        <w:t xml:space="preserve">Big Mountain's facilities rank near the top nationally on every metric the market rewards with higher prices, yet it prices in the middle of the distribution. The random forest model provides statistically robust evidence of a $14.87 underpricing gap. A phased ticket price increase to $88–92 paired with the Scenario 2 capital investment is projected to generate roughly $5.4M in combined incremental revenue in the first season, well above the $1.54M added operating cost of the new lift.</w:t>
      </w:r>
    </w:p>
    <w:p>
      <w:pPr>
        <w:spacing w:after="0" w:before="100"/>
      </w:pPr>
      <w:r>
        <w:t xml:space="preserve"/>
      </w:r>
    </w:p>
    <w:p>
      <w:pPr>
        <w:pBdr>
          <w:bottom w:val="single" w:color="2E75B6" w:sz="6" w:space="3"/>
        </w:pBdr>
        <w:spacing w:after="0" w:before="200"/>
      </w:pPr>
      <w:r>
        <w:rPr>
          <w:rFonts w:ascii="Arial" w:cs="Arial" w:eastAsia="Arial" w:hAnsi="Arial"/>
          <w:b/>
          <w:bCs/>
          <w:color w:val="1F4E79"/>
          <w:sz w:val="24"/>
          <w:szCs w:val="24"/>
        </w:rPr>
        <w:t xml:space="preserve">Future Scope of Work</w:t>
      </w:r>
    </w:p>
    <w:p>
      <w:pPr>
        <w:spacing w:after="0" w:before="50"/>
      </w:pPr>
      <w:r>
        <w:t xml:space="preserve"/>
      </w:r>
    </w:p>
    <w:p>
      <w:pPr>
        <w:pStyle w:val="ListParagraph"/>
        <w:numPr>
          <w:ilvl w:val="0"/>
          <w:numId w:val="2"/>
        </w:numPr>
        <w:spacing w:after="28" w:before="28"/>
      </w:pPr>
      <w:r>
        <w:rPr>
          <w:rFonts w:ascii="Arial" w:cs="Arial" w:eastAsia="Arial" w:hAnsi="Arial"/>
          <w:b/>
          <w:bCs/>
          <w:color w:val="1A1A1A"/>
          <w:sz w:val="20"/>
          <w:szCs w:val="20"/>
        </w:rPr>
        <w:t xml:space="preserve">Collect annual visitor counts per resort</w:t>
      </w:r>
      <w:r>
        <w:rPr>
          <w:rFonts w:ascii="Arial" w:cs="Arial" w:eastAsia="Arial" w:hAnsi="Arial"/>
          <w:color w:val="1A1A1A"/>
          <w:sz w:val="20"/>
          <w:szCs w:val="20"/>
        </w:rPr>
        <w:t xml:space="preserve"> — the most impactful missing variable for distinguishing high-volume vs. exclusive resort strategies.</w:t>
      </w:r>
    </w:p>
    <w:p>
      <w:pPr>
        <w:pStyle w:val="ListParagraph"/>
        <w:numPr>
          <w:ilvl w:val="0"/>
          <w:numId w:val="2"/>
        </w:numPr>
        <w:spacing w:after="28" w:before="28"/>
      </w:pPr>
      <w:r>
        <w:rPr>
          <w:rFonts w:ascii="Arial" w:cs="Arial" w:eastAsia="Arial" w:hAnsi="Arial"/>
          <w:b/>
          <w:bCs/>
          <w:color w:val="1A1A1A"/>
          <w:sz w:val="20"/>
          <w:szCs w:val="20"/>
        </w:rPr>
        <w:t xml:space="preserve">Add operating cost data</w:t>
      </w:r>
      <w:r>
        <w:rPr>
          <w:rFonts w:ascii="Arial" w:cs="Arial" w:eastAsia="Arial" w:hAnsi="Arial"/>
          <w:color w:val="1A1A1A"/>
          <w:sz w:val="20"/>
          <w:szCs w:val="20"/>
        </w:rPr>
        <w:t xml:space="preserve"> (lift maintenance, labor, snowmaking) to build a profitability model rather than revenue-only.</w:t>
      </w:r>
    </w:p>
    <w:p>
      <w:pPr>
        <w:pStyle w:val="ListParagraph"/>
        <w:numPr>
          <w:ilvl w:val="0"/>
          <w:numId w:val="2"/>
        </w:numPr>
        <w:spacing w:after="28" w:before="28"/>
      </w:pPr>
      <w:r>
        <w:rPr>
          <w:rFonts w:ascii="Arial" w:cs="Arial" w:eastAsia="Arial" w:hAnsi="Arial"/>
          <w:b/>
          <w:bCs/>
          <w:color w:val="1A1A1A"/>
          <w:sz w:val="20"/>
          <w:szCs w:val="20"/>
        </w:rPr>
        <w:t xml:space="preserve">Explore gradient boosting models</w:t>
      </w:r>
      <w:r>
        <w:rPr>
          <w:rFonts w:ascii="Arial" w:cs="Arial" w:eastAsia="Arial" w:hAnsi="Arial"/>
          <w:color w:val="1A1A1A"/>
          <w:sz w:val="20"/>
          <w:szCs w:val="20"/>
        </w:rPr>
        <w:t xml:space="preserve"> (XGBoost, LightGBM) and log-transforms of skewed features to further reduce prediction error.</w:t>
      </w:r>
    </w:p>
    <w:p>
      <w:pPr>
        <w:pStyle w:val="ListParagraph"/>
        <w:numPr>
          <w:ilvl w:val="0"/>
          <w:numId w:val="2"/>
        </w:numPr>
        <w:spacing w:after="28" w:before="28"/>
      </w:pPr>
      <w:r>
        <w:rPr>
          <w:rFonts w:ascii="Arial" w:cs="Arial" w:eastAsia="Arial" w:hAnsi="Arial"/>
          <w:b/>
          <w:bCs/>
          <w:color w:val="1A1A1A"/>
          <w:sz w:val="20"/>
          <w:szCs w:val="20"/>
        </w:rPr>
        <w:t xml:space="preserve">Deploy as an interactive Streamlit dashboard</w:t>
      </w:r>
      <w:r>
        <w:rPr>
          <w:rFonts w:ascii="Arial" w:cs="Arial" w:eastAsia="Arial" w:hAnsi="Arial"/>
          <w:color w:val="1A1A1A"/>
          <w:sz w:val="20"/>
          <w:szCs w:val="20"/>
        </w:rPr>
        <w:t xml:space="preserve"> so business analysts can run scenario comparisons in real time without data science team involvement.</w:t>
      </w:r>
    </w:p>
    <w:p>
      <w:pPr>
        <w:spacing w:after="0" w:before="1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3"/>
      </w:pBdr>
    </w:pPr>
    <w:r>
      <w:rPr>
        <w:rFonts w:ascii="Arial" w:cs="Arial" w:eastAsia="Arial" w:hAnsi="Arial"/>
        <w:color w:val="AAAAAA"/>
        <w:sz w:val="16"/>
        <w:szCs w:val="16"/>
      </w:rPr>
      <w:t xml:space="preserve">Springboard Data Science  ·  April 2026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3"/>
      </w:pBdr>
    </w:pPr>
    <w:r>
      <w:rPr>
        <w:rFonts w:ascii="Arial" w:cs="Arial" w:eastAsia="Arial" w:hAnsi="Arial"/>
        <w:color w:val="AAAAAA"/>
        <w:sz w:val="16"/>
        <w:szCs w:val="16"/>
      </w:rPr>
      <w:t xml:space="preserve">Guided Capstone Project Report  ·  Big Mountain Resort  ·  Colin Segura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2026-04-19T23:35:44.658Z</dcterms:created>
  <dcterms:modified xsi:type="dcterms:W3CDTF">2026-04-19T23:35:44.659Z</dcterms:modified>
</cp:coreProperties>
</file>

<file path=docProps/custom.xml><?xml version="1.0" encoding="utf-8"?>
<Properties xmlns="http://schemas.openxmlformats.org/officeDocument/2006/custom-properties" xmlns:vt="http://schemas.openxmlformats.org/officeDocument/2006/docPropsVTypes"/>
</file>