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74A6" w14:textId="77777777" w:rsidR="0091094E" w:rsidRDefault="00000000">
      <w:pPr>
        <w:spacing w:after="40"/>
        <w:jc w:val="center"/>
      </w:pPr>
      <w:r>
        <w:rPr>
          <w:rFonts w:ascii="Aptos Display" w:eastAsia="Aptos Display" w:hAnsi="Aptos Display"/>
          <w:b/>
          <w:color w:val="14324D"/>
          <w:sz w:val="48"/>
        </w:rPr>
        <w:t>MODELO INICIAL DE KPI SFE</w:t>
      </w:r>
    </w:p>
    <w:p w14:paraId="227EBD7A" w14:textId="77777777" w:rsidR="0091094E" w:rsidRDefault="00000000">
      <w:pPr>
        <w:spacing w:after="160"/>
        <w:jc w:val="center"/>
      </w:pPr>
      <w:r>
        <w:rPr>
          <w:color w:val="008F9C"/>
          <w:sz w:val="25"/>
        </w:rPr>
        <w:t>Plataforma Farma de Inteligencia Comercial y Promocional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1094E" w14:paraId="5A7CA0E4" w14:textId="77777777">
        <w:trPr>
          <w:jc w:val="center"/>
        </w:trPr>
        <w:tc>
          <w:tcPr>
            <w:tcW w:w="5184" w:type="dxa"/>
            <w:shd w:val="clear" w:color="auto" w:fill="008F9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7BB7F" w14:textId="77777777" w:rsidR="0091094E" w:rsidRDefault="0091094E">
            <w:pPr>
              <w:spacing w:after="0"/>
            </w:pPr>
          </w:p>
        </w:tc>
        <w:tc>
          <w:tcPr>
            <w:tcW w:w="5184" w:type="dxa"/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20F099" w14:textId="77777777" w:rsidR="0091094E" w:rsidRDefault="00000000">
            <w:pPr>
              <w:spacing w:after="20"/>
            </w:pPr>
            <w:r>
              <w:rPr>
                <w:b/>
                <w:color w:val="14324D"/>
              </w:rPr>
              <w:t>Documento de trabajo para Moisés</w:t>
            </w:r>
          </w:p>
          <w:p w14:paraId="56BAE1FE" w14:textId="77777777" w:rsidR="0091094E" w:rsidRDefault="00000000">
            <w:pPr>
              <w:spacing w:before="20" w:after="0" w:line="240" w:lineRule="auto"/>
            </w:pPr>
            <w:r>
              <w:rPr>
                <w:color w:val="1E1E1E"/>
                <w:sz w:val="17"/>
              </w:rPr>
              <w:t>Enfoque: fuerza de ventas, visita médica, productividad del contacto, potencial prescriptivo y calidad del target médico.</w:t>
            </w:r>
          </w:p>
        </w:tc>
      </w:tr>
    </w:tbl>
    <w:p w14:paraId="7A353FF0" w14:textId="77777777" w:rsidR="0091094E" w:rsidRDefault="00000000">
      <w:pPr>
        <w:spacing w:after="160" w:line="252" w:lineRule="auto"/>
      </w:pPr>
      <w:r>
        <w:rPr>
          <w:color w:val="555C61"/>
        </w:rPr>
        <w:t>Equipo conceptual del proyecto: Wilfredo Lind (Marketing Farma), Moisés (tecnología, sistemas y plataformas Farma) y Héctor F. Rodríguez (consultoría comercial, promoción, fuerza de ventas y KPI).</w:t>
      </w:r>
    </w:p>
    <w:p w14:paraId="67E2D6B7" w14:textId="77777777" w:rsidR="0091094E" w:rsidRDefault="00000000">
      <w:pPr>
        <w:spacing w:before="140" w:after="60"/>
      </w:pPr>
      <w:r>
        <w:rPr>
          <w:rFonts w:ascii="Aptos Display" w:eastAsia="Aptos Display" w:hAnsi="Aptos Display"/>
          <w:b/>
          <w:color w:val="14324D"/>
          <w:sz w:val="30"/>
        </w:rPr>
        <w:t>1. Contexto del proyecto</w:t>
      </w:r>
    </w:p>
    <w:p w14:paraId="0454267E" w14:textId="77777777" w:rsidR="0091094E" w:rsidRDefault="00000000">
      <w:pPr>
        <w:spacing w:after="80" w:line="252" w:lineRule="auto"/>
      </w:pPr>
      <w:r>
        <w:rPr>
          <w:color w:val="1E1E1E"/>
        </w:rPr>
        <w:t>El proyecto busca consolidar data desde diferentes sistemas empresariales para evitar la dependencia de reportes manuales en Excel. La plataforma debe servir a Comité de Directores, Marketing, Promoción, Comercial y Gerentes de Distrito, con información rápida, integrada y accionable.</w:t>
      </w:r>
    </w:p>
    <w:p w14:paraId="2B55547D" w14:textId="77777777" w:rsidR="0091094E" w:rsidRDefault="00000000">
      <w:pPr>
        <w:spacing w:after="80" w:line="252" w:lineRule="auto"/>
      </w:pPr>
      <w:r>
        <w:rPr>
          <w:color w:val="1E1E1E"/>
        </w:rPr>
        <w:t>En SFE, el valor no es solo contar visitas; es explicar si el VM llegó al target correcto, con la frecuencia adecuada, ejecutó la estrategia y generó impacto medible en demanda, prescripción o resultado comercial.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1094E" w14:paraId="4A335A41" w14:textId="77777777">
        <w:trPr>
          <w:jc w:val="center"/>
        </w:trPr>
        <w:tc>
          <w:tcPr>
            <w:tcW w:w="5184" w:type="dxa"/>
            <w:shd w:val="clear" w:color="auto" w:fill="008F9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71967" w14:textId="77777777" w:rsidR="0091094E" w:rsidRDefault="0091094E">
            <w:pPr>
              <w:spacing w:after="0"/>
            </w:pPr>
          </w:p>
        </w:tc>
        <w:tc>
          <w:tcPr>
            <w:tcW w:w="5184" w:type="dxa"/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6B63DAA" w14:textId="77777777" w:rsidR="0091094E" w:rsidRDefault="00000000">
            <w:pPr>
              <w:spacing w:after="20"/>
            </w:pPr>
            <w:r>
              <w:rPr>
                <w:b/>
                <w:color w:val="14324D"/>
              </w:rPr>
              <w:t>Idea central</w:t>
            </w:r>
          </w:p>
          <w:p w14:paraId="286873E8" w14:textId="77777777" w:rsidR="0091094E" w:rsidRDefault="00000000">
            <w:pPr>
              <w:spacing w:before="20" w:after="0" w:line="240" w:lineRule="auto"/>
            </w:pPr>
            <w:r>
              <w:rPr>
                <w:color w:val="1E1E1E"/>
                <w:sz w:val="17"/>
              </w:rPr>
              <w:t>La plataforma no debe limitarse a mostrar qué pasó. Debe ayudar a diagnosticar por qué pasó y dónde actuar.</w:t>
            </w:r>
          </w:p>
        </w:tc>
      </w:tr>
    </w:tbl>
    <w:p w14:paraId="2F1A5AB0" w14:textId="77777777" w:rsidR="0091094E" w:rsidRDefault="00000000">
      <w:pPr>
        <w:spacing w:before="140" w:after="60"/>
      </w:pPr>
      <w:r>
        <w:rPr>
          <w:rFonts w:ascii="Aptos Display" w:eastAsia="Aptos Display" w:hAnsi="Aptos Display"/>
          <w:b/>
          <w:color w:val="14324D"/>
          <w:sz w:val="30"/>
        </w:rPr>
        <w:t>2. Fuentes consultadas y criterios internacionales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1094E" w14:paraId="3C3F5981" w14:textId="77777777">
        <w:trPr>
          <w:jc w:val="center"/>
        </w:trPr>
        <w:tc>
          <w:tcPr>
            <w:tcW w:w="5184" w:type="dxa"/>
            <w:shd w:val="clear" w:color="auto" w:fill="14324D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2115DB12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Fuente</w:t>
            </w:r>
          </w:p>
        </w:tc>
        <w:tc>
          <w:tcPr>
            <w:tcW w:w="5184" w:type="dxa"/>
            <w:shd w:val="clear" w:color="auto" w:fill="14324D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E81FFCE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Aporte al modelo</w:t>
            </w:r>
          </w:p>
        </w:tc>
      </w:tr>
      <w:tr w:rsidR="0091094E" w14:paraId="4EFB1819" w14:textId="77777777">
        <w:trPr>
          <w:jc w:val="center"/>
        </w:trPr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5597145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IQVIA SFE</w:t>
            </w:r>
          </w:p>
        </w:tc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35B41E1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Targeting, alineación territorial, cadencia promocional y performance analytics.</w:t>
            </w:r>
          </w:p>
        </w:tc>
      </w:tr>
      <w:tr w:rsidR="0091094E" w14:paraId="1406C7AA" w14:textId="77777777">
        <w:trPr>
          <w:jc w:val="center"/>
        </w:trPr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1D85C3D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IQVIA Commercial Analytics</w:t>
            </w:r>
          </w:p>
        </w:tc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4574BE1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Integración de datos, dashboards por rol, forecasting y medición de desempeño.</w:t>
            </w:r>
          </w:p>
        </w:tc>
      </w:tr>
      <w:tr w:rsidR="0091094E" w14:paraId="5EC5A65C" w14:textId="77777777">
        <w:trPr>
          <w:jc w:val="center"/>
        </w:trPr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3267ED3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Veeva HCP 360</w:t>
            </w:r>
          </w:p>
        </w:tc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6DC5C16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Engagement HCP, CRM, canales, approved email y reuniones virtuales.</w:t>
            </w:r>
          </w:p>
        </w:tc>
      </w:tr>
      <w:tr w:rsidR="0091094E" w14:paraId="40345452" w14:textId="77777777">
        <w:trPr>
          <w:jc w:val="center"/>
        </w:trPr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5F8C069D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Deloitte Pharma Engagement</w:t>
            </w:r>
          </w:p>
        </w:tc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19E6A428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Data, analytics, AI y Next Best Actions para engagement con HCP.</w:t>
            </w:r>
          </w:p>
        </w:tc>
      </w:tr>
      <w:tr w:rsidR="0091094E" w14:paraId="2F7A005E" w14:textId="77777777">
        <w:trPr>
          <w:jc w:val="center"/>
        </w:trPr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329393B3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ZS Sales Effectiveness</w:t>
            </w:r>
          </w:p>
        </w:tc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6295FF8F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Analytics, coaching, calidad de field force, manager dashboards y desempeño medible.</w:t>
            </w:r>
          </w:p>
        </w:tc>
      </w:tr>
      <w:tr w:rsidR="0091094E" w14:paraId="3554DC05" w14:textId="77777777">
        <w:trPr>
          <w:jc w:val="center"/>
        </w:trPr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766CF3CE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Close-Up / Analyzer</w:t>
            </w:r>
          </w:p>
        </w:tc>
        <w:tc>
          <w:tcPr>
            <w:tcW w:w="5184" w:type="dxa"/>
            <w:tcMar>
              <w:top w:w="55" w:type="dxa"/>
              <w:left w:w="75" w:type="dxa"/>
              <w:bottom w:w="55" w:type="dxa"/>
              <w:right w:w="75" w:type="dxa"/>
            </w:tcMar>
          </w:tcPr>
          <w:p w14:paraId="4CD227FC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Prescripción, potencial, targeting coverage, opportunity matrix y rankings cuando esté disponible.</w:t>
            </w:r>
          </w:p>
        </w:tc>
      </w:tr>
    </w:tbl>
    <w:p w14:paraId="13896DC2" w14:textId="77777777" w:rsidR="0091094E" w:rsidRDefault="0091094E">
      <w:pPr>
        <w:sectPr w:rsidR="0091094E">
          <w:footerReference w:type="default" r:id="rId8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 w14:paraId="1A4458F6" w14:textId="77777777" w:rsidR="0091094E" w:rsidRDefault="00000000">
      <w:pPr>
        <w:spacing w:after="0"/>
      </w:pPr>
      <w:r>
        <w:rPr>
          <w:rFonts w:ascii="Aptos Display" w:eastAsia="Aptos Display" w:hAnsi="Aptos Display"/>
          <w:b/>
          <w:color w:val="14324D"/>
          <w:sz w:val="31"/>
        </w:rPr>
        <w:lastRenderedPageBreak/>
        <w:t>5. Cuadro maestro de KPI SFE ajustado</w:t>
      </w:r>
    </w:p>
    <w:p w14:paraId="4B1592A8" w14:textId="77777777" w:rsidR="0091094E" w:rsidRDefault="00000000">
      <w:pPr>
        <w:spacing w:after="40" w:line="240" w:lineRule="auto"/>
      </w:pPr>
      <w:r>
        <w:rPr>
          <w:color w:val="555C61"/>
          <w:sz w:val="15"/>
        </w:rPr>
        <w:t>Una sola página: fórmula, medición y fuentes internas/externas. Nota: el potencial médico se trata como potencial prescriptivo, demanda o influencia; no como venta directa por médico.</w:t>
      </w: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620"/>
        <w:gridCol w:w="1947"/>
        <w:gridCol w:w="1947"/>
        <w:gridCol w:w="3676"/>
        <w:gridCol w:w="3100"/>
        <w:gridCol w:w="3676"/>
      </w:tblGrid>
      <w:tr w:rsidR="0091094E" w14:paraId="1840DC42" w14:textId="77777777">
        <w:trPr>
          <w:cantSplit/>
          <w:trHeight w:val="720"/>
          <w:tblHeader/>
          <w:jc w:val="center"/>
        </w:trPr>
        <w:tc>
          <w:tcPr>
            <w:tcW w:w="619" w:type="dxa"/>
            <w:shd w:val="clear" w:color="auto" w:fill="14324D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15A82734" w14:textId="77777777" w:rsidR="0091094E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Nivel</w:t>
            </w:r>
          </w:p>
        </w:tc>
        <w:tc>
          <w:tcPr>
            <w:tcW w:w="1944" w:type="dxa"/>
            <w:shd w:val="clear" w:color="auto" w:fill="14324D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6EF4A624" w14:textId="77777777" w:rsidR="0091094E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KPI</w:t>
            </w:r>
          </w:p>
        </w:tc>
        <w:tc>
          <w:tcPr>
            <w:tcW w:w="1944" w:type="dxa"/>
            <w:shd w:val="clear" w:color="auto" w:fill="14324D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3A96B262" w14:textId="77777777" w:rsidR="0091094E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Qué mide</w:t>
            </w:r>
          </w:p>
        </w:tc>
        <w:tc>
          <w:tcPr>
            <w:tcW w:w="3671" w:type="dxa"/>
            <w:shd w:val="clear" w:color="auto" w:fill="14324D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42462475" w14:textId="77777777" w:rsidR="0091094E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Fórmula / medición</w:t>
            </w:r>
          </w:p>
        </w:tc>
        <w:tc>
          <w:tcPr>
            <w:tcW w:w="3096" w:type="dxa"/>
            <w:shd w:val="clear" w:color="auto" w:fill="14324D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17F16197" w14:textId="77777777" w:rsidR="0091094E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Fuente interna</w:t>
            </w:r>
          </w:p>
        </w:tc>
        <w:tc>
          <w:tcPr>
            <w:tcW w:w="3671" w:type="dxa"/>
            <w:shd w:val="clear" w:color="auto" w:fill="14324D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2239A377" w14:textId="77777777" w:rsidR="0091094E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Fuente externa / cuándo aplica</w:t>
            </w:r>
          </w:p>
        </w:tc>
      </w:tr>
      <w:tr w:rsidR="0091094E" w14:paraId="603D1DF4" w14:textId="77777777">
        <w:trPr>
          <w:cantSplit/>
          <w:trHeight w:val="720"/>
          <w:jc w:val="center"/>
        </w:trPr>
        <w:tc>
          <w:tcPr>
            <w:tcW w:w="619" w:type="dxa"/>
            <w:shd w:val="clear" w:color="auto" w:fill="EAF4F7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B4E8328" w14:textId="77777777" w:rsidR="0091094E" w:rsidRDefault="00000000">
            <w:pPr>
              <w:jc w:val="center"/>
            </w:pPr>
            <w:r>
              <w:rPr>
                <w:b/>
                <w:color w:val="14324D"/>
                <w:sz w:val="14"/>
              </w:rPr>
              <w:t>0</w:t>
            </w:r>
          </w:p>
        </w:tc>
        <w:tc>
          <w:tcPr>
            <w:tcW w:w="1944" w:type="dxa"/>
            <w:shd w:val="clear" w:color="auto" w:fill="F3F8F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5E0A4B54" w14:textId="77777777" w:rsidR="0091094E" w:rsidRDefault="00000000">
            <w:r>
              <w:rPr>
                <w:b/>
                <w:color w:val="14324D"/>
                <w:sz w:val="14"/>
              </w:rPr>
              <w:t>Calidad del Target Médico</w:t>
            </w:r>
          </w:p>
        </w:tc>
        <w:tc>
          <w:tcPr>
            <w:tcW w:w="1944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4BF8BF64" w14:textId="77777777" w:rsidR="0091094E" w:rsidRDefault="00000000">
            <w:r>
              <w:rPr>
                <w:color w:val="1E1E1E"/>
                <w:sz w:val="13"/>
              </w:rPr>
              <w:t>Si el HCP merece esfuerzo promocional.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20D32C0F" w14:textId="77777777" w:rsidR="0091094E" w:rsidRDefault="00000000">
            <w:r>
              <w:rPr>
                <w:color w:val="1E1E1E"/>
                <w:sz w:val="13"/>
              </w:rPr>
              <w:t>Score ponderado: potencial prescriptivo + afinidad con portafolio + demanda/influencia + respuesta + viabilidad.</w:t>
            </w:r>
          </w:p>
        </w:tc>
        <w:tc>
          <w:tcPr>
            <w:tcW w:w="3096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604DEEEC" w14:textId="77777777" w:rsidR="0091094E" w:rsidRDefault="00000000">
            <w:r>
              <w:rPr>
                <w:color w:val="1E1E1E"/>
                <w:sz w:val="13"/>
              </w:rPr>
              <w:t>Maestro médico, CRM, especialidad, segmentación, territorio, productos foco, eventos y muestras.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28D3CBC5" w14:textId="77777777" w:rsidR="0091094E" w:rsidRDefault="00000000">
            <w:r>
              <w:rPr>
                <w:color w:val="1E1E1E"/>
                <w:sz w:val="13"/>
              </w:rPr>
              <w:t>Recomendada: Analyzer, IQVIA o Close-Up para recetas, prescripción estimada, ranking médico, potencial y market share.</w:t>
            </w:r>
          </w:p>
        </w:tc>
      </w:tr>
      <w:tr w:rsidR="0091094E" w14:paraId="34F7B666" w14:textId="77777777">
        <w:trPr>
          <w:cantSplit/>
          <w:trHeight w:val="720"/>
          <w:jc w:val="center"/>
        </w:trPr>
        <w:tc>
          <w:tcPr>
            <w:tcW w:w="619" w:type="dxa"/>
            <w:shd w:val="clear" w:color="auto" w:fill="EAF4F7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23B30E3B" w14:textId="77777777" w:rsidR="0091094E" w:rsidRDefault="00000000">
            <w:pPr>
              <w:jc w:val="center"/>
            </w:pPr>
            <w:r>
              <w:rPr>
                <w:b/>
                <w:color w:val="14324D"/>
                <w:sz w:val="14"/>
              </w:rPr>
              <w:t>1</w:t>
            </w:r>
          </w:p>
        </w:tc>
        <w:tc>
          <w:tcPr>
            <w:tcW w:w="1944" w:type="dxa"/>
            <w:shd w:val="clear" w:color="auto" w:fill="F3F8F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2735B930" w14:textId="77777777" w:rsidR="0091094E" w:rsidRDefault="00000000">
            <w:r>
              <w:rPr>
                <w:b/>
                <w:color w:val="14324D"/>
                <w:sz w:val="14"/>
              </w:rPr>
              <w:t>Cobertura efectiva</w:t>
            </w:r>
          </w:p>
        </w:tc>
        <w:tc>
          <w:tcPr>
            <w:tcW w:w="1944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530E326A" w14:textId="77777777" w:rsidR="0091094E" w:rsidRDefault="00000000">
            <w:r>
              <w:rPr>
                <w:color w:val="1E1E1E"/>
                <w:sz w:val="13"/>
              </w:rPr>
              <w:t>Llegada al target activo correcto.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62B0ED63" w14:textId="77777777" w:rsidR="0091094E" w:rsidRDefault="00000000">
            <w:r>
              <w:rPr>
                <w:color w:val="1E1E1E"/>
                <w:sz w:val="13"/>
              </w:rPr>
              <w:t>Médicos target contactados / médicos target activos x 100.</w:t>
            </w:r>
          </w:p>
        </w:tc>
        <w:tc>
          <w:tcPr>
            <w:tcW w:w="3096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388FE9D9" w14:textId="77777777" w:rsidR="0091094E" w:rsidRDefault="00000000">
            <w:r>
              <w:rPr>
                <w:color w:val="1E1E1E"/>
                <w:sz w:val="13"/>
              </w:rPr>
              <w:t>CRM/móvil visita, rutero, maestro médico, asignación territorial y status activo/inactivo.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40AFF7B" w14:textId="77777777" w:rsidR="0091094E" w:rsidRDefault="00000000">
            <w:r>
              <w:rPr>
                <w:color w:val="1E1E1E"/>
                <w:sz w:val="13"/>
              </w:rPr>
              <w:t>No obligatoria. Ayuda a detectar HCP relevantes fuera del universo asignado.</w:t>
            </w:r>
          </w:p>
        </w:tc>
      </w:tr>
      <w:tr w:rsidR="0091094E" w14:paraId="0A8AEEEC" w14:textId="77777777">
        <w:trPr>
          <w:cantSplit/>
          <w:trHeight w:val="720"/>
          <w:jc w:val="center"/>
        </w:trPr>
        <w:tc>
          <w:tcPr>
            <w:tcW w:w="619" w:type="dxa"/>
            <w:shd w:val="clear" w:color="auto" w:fill="EAF4F7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1E1D410C" w14:textId="77777777" w:rsidR="0091094E" w:rsidRDefault="00000000">
            <w:pPr>
              <w:jc w:val="center"/>
            </w:pPr>
            <w:r>
              <w:rPr>
                <w:b/>
                <w:color w:val="14324D"/>
                <w:sz w:val="14"/>
              </w:rPr>
              <w:t>2</w:t>
            </w:r>
          </w:p>
        </w:tc>
        <w:tc>
          <w:tcPr>
            <w:tcW w:w="1944" w:type="dxa"/>
            <w:shd w:val="clear" w:color="auto" w:fill="F3F8F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6355229A" w14:textId="77777777" w:rsidR="0091094E" w:rsidRDefault="00000000">
            <w:r>
              <w:rPr>
                <w:b/>
                <w:color w:val="14324D"/>
                <w:sz w:val="14"/>
              </w:rPr>
              <w:t>Frecuencia efectiva</w:t>
            </w:r>
          </w:p>
        </w:tc>
        <w:tc>
          <w:tcPr>
            <w:tcW w:w="1944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541D6574" w14:textId="77777777" w:rsidR="0091094E" w:rsidRDefault="00000000">
            <w:r>
              <w:rPr>
                <w:color w:val="1E1E1E"/>
                <w:sz w:val="13"/>
              </w:rPr>
              <w:t>Intensidad real del contacto vs. plan.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6CA087B" w14:textId="77777777" w:rsidR="0091094E" w:rsidRDefault="00000000">
            <w:r>
              <w:rPr>
                <w:color w:val="1E1E1E"/>
                <w:sz w:val="13"/>
              </w:rPr>
              <w:t>Contactos realizados / contactos esperados según frecuencia objetivo x 100.</w:t>
            </w:r>
          </w:p>
        </w:tc>
        <w:tc>
          <w:tcPr>
            <w:tcW w:w="3096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FB41B65" w14:textId="77777777" w:rsidR="0091094E" w:rsidRDefault="00000000">
            <w:r>
              <w:rPr>
                <w:color w:val="1E1E1E"/>
                <w:sz w:val="13"/>
              </w:rPr>
              <w:t>CRM, rutero, segmentación A/B/C, frecuencia objetivo y ciclos promocionales.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B8BBAD3" w14:textId="77777777" w:rsidR="0091094E" w:rsidRDefault="00000000">
            <w:r>
              <w:rPr>
                <w:color w:val="1E1E1E"/>
                <w:sz w:val="13"/>
              </w:rPr>
              <w:t>Opcional. Útil para ajustar frecuencia por potencial prescriptivo o presión competitiva.</w:t>
            </w:r>
          </w:p>
        </w:tc>
      </w:tr>
      <w:tr w:rsidR="0091094E" w14:paraId="1452C1EF" w14:textId="77777777">
        <w:trPr>
          <w:cantSplit/>
          <w:trHeight w:val="720"/>
          <w:jc w:val="center"/>
        </w:trPr>
        <w:tc>
          <w:tcPr>
            <w:tcW w:w="619" w:type="dxa"/>
            <w:shd w:val="clear" w:color="auto" w:fill="EAF4F7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EFC850A" w14:textId="77777777" w:rsidR="0091094E" w:rsidRDefault="00000000">
            <w:pPr>
              <w:jc w:val="center"/>
            </w:pPr>
            <w:r>
              <w:rPr>
                <w:b/>
                <w:color w:val="14324D"/>
                <w:sz w:val="14"/>
              </w:rPr>
              <w:t>3</w:t>
            </w:r>
          </w:p>
        </w:tc>
        <w:tc>
          <w:tcPr>
            <w:tcW w:w="1944" w:type="dxa"/>
            <w:shd w:val="clear" w:color="auto" w:fill="F3F8F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888980B" w14:textId="77777777" w:rsidR="0091094E" w:rsidRDefault="00000000">
            <w:r>
              <w:rPr>
                <w:b/>
                <w:color w:val="14324D"/>
                <w:sz w:val="14"/>
              </w:rPr>
              <w:t>Productividad del contacto</w:t>
            </w:r>
          </w:p>
        </w:tc>
        <w:tc>
          <w:tcPr>
            <w:tcW w:w="1944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7B3D9571" w14:textId="77777777" w:rsidR="0091094E" w:rsidRDefault="00000000">
            <w:r>
              <w:rPr>
                <w:color w:val="1E1E1E"/>
                <w:sz w:val="13"/>
              </w:rPr>
              <w:t>Resultado generado por cada contacto.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49AF9C7" w14:textId="77777777" w:rsidR="0091094E" w:rsidRDefault="00000000">
            <w:r>
              <w:rPr>
                <w:color w:val="1E1E1E"/>
                <w:sz w:val="13"/>
              </w:rPr>
              <w:t>Resultado atribuible / contactos realizados. Resultado = sell-out, recetas, prescripción, venta territorial o proxy.</w:t>
            </w:r>
          </w:p>
        </w:tc>
        <w:tc>
          <w:tcPr>
            <w:tcW w:w="3096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486D0628" w14:textId="77777777" w:rsidR="0091094E" w:rsidRDefault="00000000">
            <w:r>
              <w:rPr>
                <w:color w:val="1E1E1E"/>
                <w:sz w:val="13"/>
              </w:rPr>
              <w:t>CRM, ERP, sell-in/sell-out, contactos, productos promovidos, clientes, farmacias y zonas.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19921595" w14:textId="77777777" w:rsidR="0091094E" w:rsidRDefault="00000000">
            <w:r>
              <w:rPr>
                <w:color w:val="1E1E1E"/>
                <w:sz w:val="13"/>
              </w:rPr>
              <w:t>Recomendada: Analyzer, IQVIA o Close-Up para usar recetas/prescripción y no forzar venta por médico.</w:t>
            </w:r>
          </w:p>
        </w:tc>
      </w:tr>
      <w:tr w:rsidR="0091094E" w14:paraId="41F22734" w14:textId="77777777">
        <w:trPr>
          <w:cantSplit/>
          <w:trHeight w:val="720"/>
          <w:jc w:val="center"/>
        </w:trPr>
        <w:tc>
          <w:tcPr>
            <w:tcW w:w="619" w:type="dxa"/>
            <w:shd w:val="clear" w:color="auto" w:fill="EAF4F7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45E6A845" w14:textId="77777777" w:rsidR="0091094E" w:rsidRDefault="00000000">
            <w:pPr>
              <w:jc w:val="center"/>
            </w:pPr>
            <w:r>
              <w:rPr>
                <w:b/>
                <w:color w:val="14324D"/>
                <w:sz w:val="14"/>
              </w:rPr>
              <w:t>4</w:t>
            </w:r>
          </w:p>
        </w:tc>
        <w:tc>
          <w:tcPr>
            <w:tcW w:w="1944" w:type="dxa"/>
            <w:shd w:val="clear" w:color="auto" w:fill="F3F8F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3CD22C9E" w14:textId="77777777" w:rsidR="0091094E" w:rsidRDefault="00000000">
            <w:r>
              <w:rPr>
                <w:b/>
                <w:color w:val="14324D"/>
                <w:sz w:val="14"/>
              </w:rPr>
              <w:t>Calidad de ejecución promocional</w:t>
            </w:r>
          </w:p>
        </w:tc>
        <w:tc>
          <w:tcPr>
            <w:tcW w:w="1944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66068329" w14:textId="77777777" w:rsidR="0091094E" w:rsidRDefault="00000000">
            <w:r>
              <w:rPr>
                <w:color w:val="1E1E1E"/>
                <w:sz w:val="13"/>
              </w:rPr>
              <w:t>Cumplimiento de la estrategia en visita.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22E2ACF7" w14:textId="77777777" w:rsidR="0091094E" w:rsidRDefault="00000000">
            <w:r>
              <w:rPr>
                <w:color w:val="1E1E1E"/>
                <w:sz w:val="13"/>
              </w:rPr>
              <w:t>Score obtenido / score máximo x 100. Variables: mensaje, producto foco, material, objeción y próximo paso.</w:t>
            </w:r>
          </w:p>
        </w:tc>
        <w:tc>
          <w:tcPr>
            <w:tcW w:w="3096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6D1236E0" w14:textId="77777777" w:rsidR="0091094E" w:rsidRDefault="00000000">
            <w:r>
              <w:rPr>
                <w:color w:val="1E1E1E"/>
                <w:sz w:val="13"/>
              </w:rPr>
              <w:t>CRM, formulario de visita, coaching GD, campañas, materiales, objeciones y próximos pasos.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6ED02396" w14:textId="77777777" w:rsidR="0091094E" w:rsidRDefault="00000000">
            <w:r>
              <w:rPr>
                <w:color w:val="1E1E1E"/>
                <w:sz w:val="13"/>
              </w:rPr>
              <w:t>No obligatoria. Complementa con recordación de mensaje, auditoría o respuesta del HCP.</w:t>
            </w:r>
          </w:p>
        </w:tc>
      </w:tr>
      <w:tr w:rsidR="0091094E" w14:paraId="3E2A8C2D" w14:textId="77777777">
        <w:trPr>
          <w:cantSplit/>
          <w:trHeight w:val="720"/>
          <w:jc w:val="center"/>
        </w:trPr>
        <w:tc>
          <w:tcPr>
            <w:tcW w:w="619" w:type="dxa"/>
            <w:shd w:val="clear" w:color="auto" w:fill="EAF4F7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1D6DD85" w14:textId="77777777" w:rsidR="0091094E" w:rsidRDefault="00000000">
            <w:pPr>
              <w:jc w:val="center"/>
            </w:pPr>
            <w:r>
              <w:rPr>
                <w:b/>
                <w:color w:val="14324D"/>
                <w:sz w:val="14"/>
              </w:rPr>
              <w:t>5</w:t>
            </w:r>
          </w:p>
        </w:tc>
        <w:tc>
          <w:tcPr>
            <w:tcW w:w="1944" w:type="dxa"/>
            <w:shd w:val="clear" w:color="auto" w:fill="F3F8F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2AFCF2D0" w14:textId="77777777" w:rsidR="0091094E" w:rsidRDefault="00000000">
            <w:r>
              <w:rPr>
                <w:b/>
                <w:color w:val="14324D"/>
                <w:sz w:val="14"/>
              </w:rPr>
              <w:t>Resultado territorial vs. potencial</w:t>
            </w:r>
          </w:p>
        </w:tc>
        <w:tc>
          <w:tcPr>
            <w:tcW w:w="1944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44FBD195" w14:textId="77777777" w:rsidR="0091094E" w:rsidRDefault="00000000">
            <w:r>
              <w:rPr>
                <w:color w:val="1E1E1E"/>
                <w:sz w:val="13"/>
              </w:rPr>
              <w:t>Captura de la oportunidad real del territorio.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0BA41E91" w14:textId="77777777" w:rsidR="0091094E" w:rsidRDefault="00000000">
            <w:r>
              <w:rPr>
                <w:color w:val="1E1E1E"/>
                <w:sz w:val="13"/>
              </w:rPr>
              <w:t>Resultado real / potencial estimado x 100. Resultado = ventas, sell-out, prescripción, share o crecimiento.</w:t>
            </w:r>
          </w:p>
        </w:tc>
        <w:tc>
          <w:tcPr>
            <w:tcW w:w="3096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3235678F" w14:textId="77777777" w:rsidR="0091094E" w:rsidRDefault="00000000">
            <w:r>
              <w:rPr>
                <w:color w:val="1E1E1E"/>
                <w:sz w:val="13"/>
              </w:rPr>
              <w:t>ERP, ventas históricas, presupuesto, cartera, territorio, objetivos, productos y especialidades.</w:t>
            </w:r>
          </w:p>
        </w:tc>
        <w:tc>
          <w:tcPr>
            <w:tcW w:w="3671" w:type="dxa"/>
            <w:tcMar>
              <w:top w:w="34" w:type="dxa"/>
              <w:left w:w="42" w:type="dxa"/>
              <w:bottom w:w="34" w:type="dxa"/>
              <w:right w:w="42" w:type="dxa"/>
            </w:tcMar>
            <w:vAlign w:val="center"/>
          </w:tcPr>
          <w:p w14:paraId="45D2AC58" w14:textId="77777777" w:rsidR="0091094E" w:rsidRDefault="00000000">
            <w:r>
              <w:rPr>
                <w:color w:val="1E1E1E"/>
                <w:sz w:val="13"/>
              </w:rPr>
              <w:t>Altamente recomendable: IQVIA, Close-Up, Analyzer u otra fuente para estimar potencial real de mercado.</w:t>
            </w:r>
          </w:p>
        </w:tc>
      </w:tr>
    </w:tbl>
    <w:p w14:paraId="01507CE2" w14:textId="77777777" w:rsidR="0091094E" w:rsidRDefault="00000000">
      <w:pPr>
        <w:spacing w:before="60" w:after="0" w:line="240" w:lineRule="auto"/>
      </w:pPr>
      <w:r>
        <w:rPr>
          <w:i/>
          <w:color w:val="555C61"/>
          <w:sz w:val="15"/>
        </w:rPr>
        <w:t>Lectura técnica: no todos los KPI requieren IQVIA; pero fuentes externas fortalecen el diagnóstico cuando se mide potencial prescriptivo, prescripción, market share o demanda no visible en ventas internas.</w:t>
      </w:r>
    </w:p>
    <w:p w14:paraId="07D3981C" w14:textId="77777777" w:rsidR="0091094E" w:rsidRDefault="0091094E">
      <w:pPr>
        <w:sectPr w:rsidR="0091094E">
          <w:footerReference w:type="default" r:id="rId9"/>
          <w:pgSz w:w="15840" w:h="12240" w:orient="landscape"/>
          <w:pgMar w:top="403" w:right="432" w:bottom="360" w:left="432" w:header="144" w:footer="144" w:gutter="0"/>
          <w:cols w:space="720"/>
          <w:docGrid w:linePitch="360"/>
        </w:sectPr>
      </w:pPr>
    </w:p>
    <w:p w14:paraId="5B7F31E1" w14:textId="77777777" w:rsidR="0091094E" w:rsidRDefault="00000000">
      <w:pPr>
        <w:spacing w:before="140" w:after="60"/>
      </w:pPr>
      <w:r>
        <w:rPr>
          <w:rFonts w:ascii="Aptos Display" w:eastAsia="Aptos Display" w:hAnsi="Aptos Display"/>
          <w:b/>
          <w:color w:val="14324D"/>
          <w:sz w:val="30"/>
        </w:rPr>
        <w:lastRenderedPageBreak/>
        <w:t>3. Arquitectura recomendada del modelo SFE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59"/>
        <w:gridCol w:w="3013"/>
        <w:gridCol w:w="1524"/>
        <w:gridCol w:w="1472"/>
      </w:tblGrid>
      <w:tr w:rsidR="0091094E" w14:paraId="108B5508" w14:textId="77777777">
        <w:trPr>
          <w:jc w:val="center"/>
        </w:trPr>
        <w:tc>
          <w:tcPr>
            <w:tcW w:w="3456" w:type="dxa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A96390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w="3456" w:type="dxa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5D4CCD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3456" w:type="dxa"/>
            <w:gridSpan w:val="2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5824DF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Rol dentro del dashboard</w:t>
            </w:r>
          </w:p>
        </w:tc>
      </w:tr>
      <w:tr w:rsidR="0091094E" w14:paraId="590CA6DB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9DB76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Fundación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75299D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Calidad del Target Médico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CA4D84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Valida si el universo médico asignado merece esfuerzo promocional.</w:t>
            </w:r>
          </w:p>
        </w:tc>
      </w:tr>
      <w:tr w:rsidR="0091094E" w14:paraId="57EDCDD6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9FA98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Ejecución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BF8DA8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Cobertura efectiva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AA4A37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Mide llegada a médicos correctos dentro del target activo.</w:t>
            </w:r>
          </w:p>
        </w:tc>
      </w:tr>
      <w:tr w:rsidR="0091094E" w14:paraId="4992EB8B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FE6AE0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Ejecución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56EEF0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Frecuencia efectiva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945AE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Mide intensidad definida por segmento o prioridad.</w:t>
            </w:r>
          </w:p>
        </w:tc>
      </w:tr>
      <w:tr w:rsidR="0091094E" w14:paraId="707D262B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630A57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Impacto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07317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Productividad del contacto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BF7C5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Mide cuánto resultado genera cada contacto.</w:t>
            </w:r>
          </w:p>
        </w:tc>
      </w:tr>
      <w:tr w:rsidR="0091094E" w14:paraId="0C01346E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2E2527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Calidad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40170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Calidad de ejecución promocional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C80F55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Evalúa mensaje, contenido, objeciones y seguimiento.</w:t>
            </w:r>
          </w:p>
        </w:tc>
      </w:tr>
      <w:tr w:rsidR="0091094E" w14:paraId="70821E72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51FE0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Negocio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E4ABE4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Resultado territorial vs. potencial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A329A9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Compara resultado real contra oportunidad estimada.</w:t>
            </w:r>
          </w:p>
        </w:tc>
      </w:tr>
      <w:tr w:rsidR="0091094E" w14:paraId="7C0AE0B7" w14:textId="77777777">
        <w:trPr>
          <w:gridAfter w:val="1"/>
          <w:wAfter w:w="1197" w:type="dxa"/>
          <w:jc w:val="center"/>
        </w:trPr>
        <w:tc>
          <w:tcPr>
            <w:tcW w:w="5184" w:type="dxa"/>
            <w:shd w:val="clear" w:color="auto" w:fill="008F9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D6E463" w14:textId="77777777" w:rsidR="0091094E" w:rsidRDefault="0091094E">
            <w:pPr>
              <w:spacing w:after="0"/>
            </w:pPr>
          </w:p>
        </w:tc>
        <w:tc>
          <w:tcPr>
            <w:tcW w:w="5184" w:type="dxa"/>
            <w:gridSpan w:val="2"/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04963D" w14:textId="77777777" w:rsidR="0091094E" w:rsidRDefault="00000000">
            <w:pPr>
              <w:spacing w:after="20"/>
            </w:pPr>
            <w:r>
              <w:rPr>
                <w:b/>
                <w:color w:val="14324D"/>
              </w:rPr>
              <w:t>Principio de diseño</w:t>
            </w:r>
          </w:p>
          <w:p w14:paraId="180467B2" w14:textId="77777777" w:rsidR="0091094E" w:rsidRDefault="00000000">
            <w:pPr>
              <w:spacing w:before="20" w:after="0" w:line="240" w:lineRule="auto"/>
            </w:pPr>
            <w:r>
              <w:rPr>
                <w:color w:val="1E1E1E"/>
                <w:sz w:val="17"/>
              </w:rPr>
              <w:t>La pantalla ejecutiva debe mostrar pocos KPI madre. Los indicadores secundarios deben abrirse por rol, territorio, VM, producto, ciclo y especialidad.</w:t>
            </w:r>
          </w:p>
        </w:tc>
      </w:tr>
    </w:tbl>
    <w:p w14:paraId="485BD081" w14:textId="77777777" w:rsidR="0091094E" w:rsidRDefault="00000000">
      <w:pPr>
        <w:spacing w:before="140" w:after="60"/>
      </w:pPr>
      <w:r>
        <w:rPr>
          <w:rFonts w:ascii="Aptos Display" w:eastAsia="Aptos Display" w:hAnsi="Aptos Display"/>
          <w:b/>
          <w:color w:val="14324D"/>
          <w:sz w:val="30"/>
        </w:rPr>
        <w:t>4. Lógica de diagnóstico automático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1094E" w14:paraId="64DEC123" w14:textId="77777777">
        <w:trPr>
          <w:jc w:val="center"/>
        </w:trPr>
        <w:tc>
          <w:tcPr>
            <w:tcW w:w="5184" w:type="dxa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5AC0CE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Combinación detectada</w:t>
            </w:r>
          </w:p>
        </w:tc>
        <w:tc>
          <w:tcPr>
            <w:tcW w:w="5184" w:type="dxa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A34D72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Diagnóstico sugerido</w:t>
            </w:r>
          </w:p>
        </w:tc>
      </w:tr>
      <w:tr w:rsidR="0091094E" w14:paraId="33F20307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A45ACB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Baja cobertura + alta productividad del contacto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3BF9FB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El VM genera impacto cuando visita. Problema principal: cobertura insuficiente.</w:t>
            </w:r>
          </w:p>
        </w:tc>
      </w:tr>
      <w:tr w:rsidR="0091094E" w14:paraId="1FC1B5F8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6AEC25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Alta cobertura + baja productividad del contacto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F24805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El VM visita, pero el contacto no convierte. Revisar calidad, mensaje, target o coaching.</w:t>
            </w:r>
          </w:p>
        </w:tc>
      </w:tr>
      <w:tr w:rsidR="0091094E" w14:paraId="4F386440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6EAFE0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Alto potencial prescriptivo + baja cobertura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5E1AD6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Oportunidad comercial no capturada. Debe priorizarse en el rutero.</w:t>
            </w:r>
          </w:p>
        </w:tc>
      </w:tr>
      <w:tr w:rsidR="0091094E" w14:paraId="2EBA598F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AC34A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Médico visitado sin evidencia de demanda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D2D822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Revisar si debe mantenerse, rediseñar estrategia o bajar frecuencia.</w:t>
            </w:r>
          </w:p>
        </w:tc>
      </w:tr>
      <w:tr w:rsidR="0091094E" w14:paraId="58FD098B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0A882F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Demanda/prescripción sin visita reciente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17469F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Demanda natural o influencia no gestionada. Oportunidad para proteger y desarrollar.</w:t>
            </w:r>
          </w:p>
        </w:tc>
      </w:tr>
    </w:tbl>
    <w:p w14:paraId="7E63F3C8" w14:textId="77777777" w:rsidR="0091094E" w:rsidRDefault="00000000">
      <w:pPr>
        <w:spacing w:before="140" w:after="60"/>
      </w:pPr>
      <w:r>
        <w:rPr>
          <w:rFonts w:ascii="Aptos Display" w:eastAsia="Aptos Display" w:hAnsi="Aptos Display"/>
          <w:b/>
          <w:color w:val="14324D"/>
          <w:sz w:val="30"/>
        </w:rPr>
        <w:t>6. Ajuste específico: potencial prescriptivo y productividad del contacto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72"/>
        <w:gridCol w:w="3037"/>
        <w:gridCol w:w="1510"/>
        <w:gridCol w:w="1449"/>
      </w:tblGrid>
      <w:tr w:rsidR="0091094E" w14:paraId="545A9E1F" w14:textId="77777777">
        <w:trPr>
          <w:gridAfter w:val="1"/>
          <w:wAfter w:w="1197" w:type="dxa"/>
          <w:jc w:val="center"/>
        </w:trPr>
        <w:tc>
          <w:tcPr>
            <w:tcW w:w="5184" w:type="dxa"/>
            <w:shd w:val="clear" w:color="auto" w:fill="008F9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8C3B23" w14:textId="77777777" w:rsidR="0091094E" w:rsidRDefault="0091094E">
            <w:pPr>
              <w:spacing w:after="0"/>
            </w:pPr>
          </w:p>
        </w:tc>
        <w:tc>
          <w:tcPr>
            <w:tcW w:w="5184" w:type="dxa"/>
            <w:gridSpan w:val="2"/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DC594BE" w14:textId="77777777" w:rsidR="0091094E" w:rsidRDefault="00000000">
            <w:pPr>
              <w:spacing w:after="20"/>
            </w:pPr>
            <w:r>
              <w:rPr>
                <w:b/>
                <w:color w:val="14324D"/>
              </w:rPr>
              <w:t>Regla conceptual</w:t>
            </w:r>
          </w:p>
          <w:p w14:paraId="0FE80D80" w14:textId="77777777" w:rsidR="0091094E" w:rsidRDefault="00000000">
            <w:pPr>
              <w:spacing w:before="20" w:after="0" w:line="240" w:lineRule="auto"/>
            </w:pPr>
            <w:r>
              <w:rPr>
                <w:color w:val="1E1E1E"/>
                <w:sz w:val="17"/>
              </w:rPr>
              <w:t>En Farma, la venta no siempre puede atribuirse directamente al médico. El médico genera demanda, prescripción, recomendación o influencia. Por eso, cuando exista Analyzer, IQVIA, Close-Up u otra fuente, el modelo debe priorizar recetas captadas o prescripción estimada antes que venta por médico.</w:t>
            </w:r>
          </w:p>
        </w:tc>
      </w:tr>
      <w:tr w:rsidR="0091094E" w14:paraId="554AC04C" w14:textId="77777777">
        <w:trPr>
          <w:jc w:val="center"/>
        </w:trPr>
        <w:tc>
          <w:tcPr>
            <w:tcW w:w="3456" w:type="dxa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0F510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Variante</w:t>
            </w:r>
          </w:p>
        </w:tc>
        <w:tc>
          <w:tcPr>
            <w:tcW w:w="3456" w:type="dxa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762C93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Fórmula</w:t>
            </w:r>
          </w:p>
        </w:tc>
        <w:tc>
          <w:tcPr>
            <w:tcW w:w="3456" w:type="dxa"/>
            <w:gridSpan w:val="2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8BB00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Uso gerencial</w:t>
            </w:r>
          </w:p>
        </w:tc>
      </w:tr>
      <w:tr w:rsidR="0091094E" w14:paraId="13F0DF50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C00086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5"/>
              </w:rPr>
              <w:t>Productividad total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E0D125" w14:textId="77777777" w:rsidR="0091094E" w:rsidRDefault="00000000">
            <w:pPr>
              <w:spacing w:after="0"/>
            </w:pPr>
            <w:r>
              <w:rPr>
                <w:color w:val="1E1E1E"/>
                <w:sz w:val="15"/>
              </w:rPr>
              <w:t>Ventas, sell-out o resultado territorial / contactos realizados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C468B0" w14:textId="77777777" w:rsidR="0091094E" w:rsidRDefault="00000000">
            <w:pPr>
              <w:spacing w:after="0"/>
            </w:pPr>
            <w:r>
              <w:rPr>
                <w:color w:val="1E1E1E"/>
                <w:sz w:val="15"/>
              </w:rPr>
              <w:t>Útil cuando no hay atribución médico a médico.</w:t>
            </w:r>
          </w:p>
        </w:tc>
      </w:tr>
      <w:tr w:rsidR="0091094E" w14:paraId="3B2AD56D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3BC75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5"/>
              </w:rPr>
              <w:t>Productividad prescriptiva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519769" w14:textId="77777777" w:rsidR="0091094E" w:rsidRDefault="00000000">
            <w:pPr>
              <w:spacing w:after="0"/>
            </w:pPr>
            <w:r>
              <w:rPr>
                <w:color w:val="1E1E1E"/>
                <w:sz w:val="15"/>
              </w:rPr>
              <w:t>Recetas captadas o prescripción estimada / contactos realizados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2A9F36" w14:textId="77777777" w:rsidR="0091094E" w:rsidRDefault="00000000">
            <w:pPr>
              <w:spacing w:after="0"/>
            </w:pPr>
            <w:r>
              <w:rPr>
                <w:color w:val="1E1E1E"/>
                <w:sz w:val="15"/>
              </w:rPr>
              <w:t>Más alineada a Farma cuando existe Analyzer, IQVIA o Close-Up.</w:t>
            </w:r>
          </w:p>
        </w:tc>
      </w:tr>
      <w:tr w:rsidR="0091094E" w14:paraId="4261BF72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A8545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5"/>
              </w:rPr>
              <w:t>Médicos contactados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E79DA1" w14:textId="77777777" w:rsidR="0091094E" w:rsidRDefault="00000000">
            <w:pPr>
              <w:spacing w:after="0"/>
            </w:pPr>
            <w:r>
              <w:rPr>
                <w:color w:val="1E1E1E"/>
                <w:sz w:val="15"/>
              </w:rPr>
              <w:t>Resultado asociado a médicos contactados / contactos a esos médicos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97032E" w14:textId="77777777" w:rsidR="0091094E" w:rsidRDefault="00000000">
            <w:pPr>
              <w:spacing w:after="0"/>
            </w:pPr>
            <w:r>
              <w:rPr>
                <w:color w:val="1E1E1E"/>
                <w:sz w:val="15"/>
              </w:rPr>
              <w:t>Solo si existe atribución confiable por médico o proxy robusto.</w:t>
            </w:r>
          </w:p>
        </w:tc>
      </w:tr>
      <w:tr w:rsidR="0091094E" w14:paraId="3BE733F5" w14:textId="77777777">
        <w:trPr>
          <w:jc w:val="center"/>
        </w:trPr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FA5A0C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5"/>
              </w:rPr>
              <w:t>Demanda potencial perdida</w:t>
            </w:r>
          </w:p>
        </w:tc>
        <w:tc>
          <w:tcPr>
            <w:tcW w:w="345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5D4BD6" w14:textId="77777777" w:rsidR="0091094E" w:rsidRDefault="00000000">
            <w:pPr>
              <w:spacing w:after="0"/>
            </w:pPr>
            <w:r>
              <w:rPr>
                <w:color w:val="1E1E1E"/>
                <w:sz w:val="15"/>
              </w:rPr>
              <w:t>Contactos no realizados x productividad histórica promedio</w:t>
            </w:r>
          </w:p>
        </w:tc>
        <w:tc>
          <w:tcPr>
            <w:tcW w:w="3456" w:type="dxa"/>
            <w:gridSpan w:val="2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332389" w14:textId="77777777" w:rsidR="0091094E" w:rsidRDefault="00000000">
            <w:pPr>
              <w:spacing w:after="0"/>
            </w:pPr>
            <w:r>
              <w:rPr>
                <w:color w:val="1E1E1E"/>
                <w:sz w:val="15"/>
              </w:rPr>
              <w:t>Estima impacto probable de médicos dejados de ver, calibrado por potencial prescriptivo.</w:t>
            </w:r>
          </w:p>
        </w:tc>
      </w:tr>
    </w:tbl>
    <w:p w14:paraId="2FC11B24" w14:textId="77777777" w:rsidR="0091094E" w:rsidRDefault="00000000">
      <w:pPr>
        <w:spacing w:before="140" w:after="60"/>
      </w:pPr>
      <w:r>
        <w:rPr>
          <w:rFonts w:ascii="Aptos Display" w:eastAsia="Aptos Display" w:hAnsi="Aptos Display"/>
          <w:b/>
          <w:color w:val="14324D"/>
          <w:sz w:val="30"/>
        </w:rPr>
        <w:t>7. Implicaciones técnicas para Moisés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1094E" w14:paraId="77B93BBD" w14:textId="77777777">
        <w:trPr>
          <w:jc w:val="center"/>
        </w:trPr>
        <w:tc>
          <w:tcPr>
            <w:tcW w:w="5184" w:type="dxa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3B0574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Componente</w:t>
            </w:r>
          </w:p>
        </w:tc>
        <w:tc>
          <w:tcPr>
            <w:tcW w:w="5184" w:type="dxa"/>
            <w:shd w:val="clear" w:color="auto" w:fill="14324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4CF0A8" w14:textId="77777777" w:rsidR="0091094E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Consideración técnica</w:t>
            </w:r>
          </w:p>
        </w:tc>
      </w:tr>
      <w:tr w:rsidR="0091094E" w14:paraId="63D9C301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35B248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Modelo médico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527EE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Crear entidad HCP/médico con ID único, especialidad, segmento, territorio, status, potencial prescriptivo e influencia.</w:t>
            </w:r>
          </w:p>
        </w:tc>
      </w:tr>
      <w:tr w:rsidR="0091094E" w14:paraId="563F356E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1AECA2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Modelo de contactos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4D294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Registrar contacto válido, canal, producto, mensaje clave, material, objeción, próximo paso y resultado asociado.</w:t>
            </w:r>
          </w:p>
        </w:tc>
      </w:tr>
      <w:tr w:rsidR="0091094E" w14:paraId="2BD61F64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1A99B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Modelo de resultados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0487AF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Separar venta interna, sell-out, recetas captadas, prescripción estimada y proxies territoriales. No forzar venta por médico.</w:t>
            </w:r>
          </w:p>
        </w:tc>
      </w:tr>
      <w:tr w:rsidR="0091094E" w14:paraId="2D5CB64F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7EF87F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Integración externa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010AE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Preparar conectores/cargas para Analyzer, IQVIA, Close-Up u otras fuentes, con mapeo por médico, especialidad, zona o producto.</w:t>
            </w:r>
          </w:p>
        </w:tc>
      </w:tr>
      <w:tr w:rsidR="0091094E" w14:paraId="7191E29A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AB908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Motor diagnóstico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95AEB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Combinar calidad de target, cobertura, frecuencia, productividad y resultado vs. potencial para generar alertas y recomendaciones.</w:t>
            </w:r>
          </w:p>
        </w:tc>
      </w:tr>
      <w:tr w:rsidR="0091094E" w14:paraId="1E813445" w14:textId="77777777">
        <w:trPr>
          <w:jc w:val="center"/>
        </w:trPr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AF2A41" w14:textId="77777777" w:rsidR="0091094E" w:rsidRDefault="00000000">
            <w:pPr>
              <w:spacing w:after="0"/>
            </w:pPr>
            <w:r>
              <w:rPr>
                <w:b/>
                <w:color w:val="14324D"/>
                <w:sz w:val="16"/>
              </w:rPr>
              <w:t>Dashboards por rol</w:t>
            </w:r>
          </w:p>
        </w:tc>
        <w:tc>
          <w:tcPr>
            <w:tcW w:w="5184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F4C047" w14:textId="77777777" w:rsidR="0091094E" w:rsidRDefault="00000000">
            <w:pPr>
              <w:spacing w:after="0"/>
            </w:pPr>
            <w:r>
              <w:rPr>
                <w:color w:val="1E1E1E"/>
                <w:sz w:val="16"/>
              </w:rPr>
              <w:t>Comité, Dirección de Promoción, Marketing, Comercial, GD y VM, con diferentes niveles de detalle.</w:t>
            </w:r>
          </w:p>
        </w:tc>
      </w:tr>
    </w:tbl>
    <w:p w14:paraId="5DBEF1B0" w14:textId="77777777" w:rsidR="0091094E" w:rsidRDefault="00000000">
      <w:pPr>
        <w:spacing w:before="140" w:after="60"/>
      </w:pPr>
      <w:r>
        <w:rPr>
          <w:rFonts w:ascii="Aptos Display" w:eastAsia="Aptos Display" w:hAnsi="Aptos Display"/>
          <w:b/>
          <w:color w:val="14324D"/>
          <w:sz w:val="30"/>
        </w:rPr>
        <w:t>8. Fuentes de referencia</w:t>
      </w:r>
    </w:p>
    <w:p w14:paraId="014AD6BE" w14:textId="77777777" w:rsidR="0091094E" w:rsidRDefault="00000000">
      <w:pPr>
        <w:spacing w:after="30" w:line="240" w:lineRule="auto"/>
      </w:pPr>
      <w:r>
        <w:rPr>
          <w:color w:val="555C61"/>
          <w:sz w:val="15"/>
        </w:rPr>
        <w:t>• IQVIA - Sales Force Effectiveness: https://www.iqvia.com/locations/united-states/solutions/life-sciences/commercial-solutions/field-force-operations/sales-force-effectiveness</w:t>
      </w:r>
    </w:p>
    <w:p w14:paraId="2F1CD66B" w14:textId="77777777" w:rsidR="0091094E" w:rsidRDefault="00000000">
      <w:pPr>
        <w:spacing w:after="30" w:line="240" w:lineRule="auto"/>
      </w:pPr>
      <w:r>
        <w:rPr>
          <w:color w:val="555C61"/>
          <w:sz w:val="15"/>
        </w:rPr>
        <w:t>• IQVIA - Commercial Analytics: https://www.iqvia.com/solutions/commercialization/commercial-analytics</w:t>
      </w:r>
    </w:p>
    <w:p w14:paraId="005AA4D6" w14:textId="77777777" w:rsidR="0091094E" w:rsidRDefault="00000000">
      <w:pPr>
        <w:spacing w:after="30" w:line="240" w:lineRule="auto"/>
      </w:pPr>
      <w:r>
        <w:rPr>
          <w:color w:val="555C61"/>
          <w:sz w:val="15"/>
        </w:rPr>
        <w:t>• Veeva - HCP 360 Trends Report: https://www.veeva.com/resources/veeva-hcp-360-trends-report/</w:t>
      </w:r>
    </w:p>
    <w:p w14:paraId="30725C2E" w14:textId="77777777" w:rsidR="0091094E" w:rsidRDefault="00000000">
      <w:pPr>
        <w:spacing w:after="30" w:line="240" w:lineRule="auto"/>
      </w:pPr>
      <w:r>
        <w:rPr>
          <w:color w:val="555C61"/>
          <w:sz w:val="15"/>
        </w:rPr>
        <w:t>• Deloitte - Future of Customer Engagement in Pharma: https://www.deloitte.com/ch/en/Industries/life-sciences-health-care/perspectives/future-of-customer-engagement.html</w:t>
      </w:r>
    </w:p>
    <w:p w14:paraId="2E4715E9" w14:textId="77777777" w:rsidR="0091094E" w:rsidRDefault="00000000">
      <w:pPr>
        <w:spacing w:after="30" w:line="240" w:lineRule="auto"/>
      </w:pPr>
      <w:r>
        <w:rPr>
          <w:color w:val="555C61"/>
          <w:sz w:val="15"/>
        </w:rPr>
        <w:t>• ZS - Sales Effectiveness Consulting &amp; Technology Solutions: https://www.zs.com/capabilities/sales/sales-effectiveness</w:t>
      </w:r>
    </w:p>
    <w:p w14:paraId="782056E8" w14:textId="77777777" w:rsidR="0091094E" w:rsidRDefault="00000000">
      <w:pPr>
        <w:spacing w:after="30" w:line="240" w:lineRule="auto"/>
      </w:pPr>
      <w:r>
        <w:rPr>
          <w:color w:val="555C61"/>
          <w:sz w:val="15"/>
        </w:rPr>
        <w:t>• Close-Up International: https://close-upinternational.com/</w:t>
      </w:r>
    </w:p>
    <w:p w14:paraId="0BB300E0" w14:textId="77777777" w:rsidR="0091094E" w:rsidRDefault="00000000">
      <w:pPr>
        <w:spacing w:after="30" w:line="240" w:lineRule="auto"/>
      </w:pPr>
      <w:r>
        <w:rPr>
          <w:color w:val="555C61"/>
          <w:sz w:val="15"/>
        </w:rPr>
        <w:t>• Close-Up - Rx Data: https://close-upinternational.com/rx-data/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1094E" w14:paraId="14230B58" w14:textId="77777777">
        <w:trPr>
          <w:jc w:val="center"/>
        </w:trPr>
        <w:tc>
          <w:tcPr>
            <w:tcW w:w="5184" w:type="dxa"/>
            <w:shd w:val="clear" w:color="auto" w:fill="008F9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55389" w14:textId="77777777" w:rsidR="0091094E" w:rsidRDefault="0091094E">
            <w:pPr>
              <w:spacing w:after="0"/>
            </w:pPr>
          </w:p>
        </w:tc>
        <w:tc>
          <w:tcPr>
            <w:tcW w:w="5184" w:type="dxa"/>
            <w:shd w:val="clear" w:color="auto" w:fill="EAF4F7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1D29785" w14:textId="77777777" w:rsidR="0091094E" w:rsidRDefault="00000000">
            <w:pPr>
              <w:spacing w:after="20"/>
            </w:pPr>
            <w:r>
              <w:rPr>
                <w:b/>
                <w:color w:val="14324D"/>
              </w:rPr>
              <w:t>Cierre ejecutivo</w:t>
            </w:r>
          </w:p>
          <w:p w14:paraId="770BA0C1" w14:textId="77777777" w:rsidR="0091094E" w:rsidRDefault="00000000">
            <w:pPr>
              <w:spacing w:before="20" w:after="0" w:line="240" w:lineRule="auto"/>
            </w:pPr>
            <w:r>
              <w:rPr>
                <w:color w:val="1E1E1E"/>
                <w:sz w:val="17"/>
              </w:rPr>
              <w:t>El valor diferencial de la plataforma no será mostrar más KPI, sino convertir la data dispersa en diagnóstico gerencial accionable para decisiones de Promoción, Marketing, Comercial y Gerentes de Distrito.</w:t>
            </w:r>
          </w:p>
        </w:tc>
      </w:tr>
    </w:tbl>
    <w:p w14:paraId="1F76F2EE" w14:textId="77777777" w:rsidR="00505A25" w:rsidRDefault="00505A25"/>
    <w:sectPr w:rsidR="00505A25" w:rsidSect="00034616">
      <w:footerReference w:type="default" r:id="rId10"/>
      <w:pgSz w:w="12240" w:h="15840"/>
      <w:pgMar w:top="792" w:right="936" w:bottom="792" w:left="936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7E2D8" w14:textId="77777777" w:rsidR="00505A25" w:rsidRDefault="00505A25">
      <w:pPr>
        <w:spacing w:after="0" w:line="240" w:lineRule="auto"/>
      </w:pPr>
      <w:r>
        <w:separator/>
      </w:r>
    </w:p>
  </w:endnote>
  <w:endnote w:type="continuationSeparator" w:id="0">
    <w:p w14:paraId="790E1321" w14:textId="77777777" w:rsidR="00505A25" w:rsidRDefault="00505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8DF19" w14:textId="77777777" w:rsidR="0091094E" w:rsidRPr="000B21E2" w:rsidRDefault="00000000">
    <w:pPr>
      <w:pStyle w:val="Piedepgina"/>
      <w:jc w:val="center"/>
      <w:rPr>
        <w:lang w:val="es-DO"/>
      </w:rPr>
    </w:pPr>
    <w:r w:rsidRPr="000B21E2">
      <w:rPr>
        <w:color w:val="555C61"/>
        <w:sz w:val="14"/>
        <w:lang w:val="es-DO"/>
      </w:rPr>
      <w:t>Plataforma Farma KPI SFE | Documento de trabajo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04556" w14:textId="77777777" w:rsidR="0091094E" w:rsidRPr="000B21E2" w:rsidRDefault="00000000">
    <w:pPr>
      <w:pStyle w:val="Piedepgina"/>
      <w:jc w:val="center"/>
      <w:rPr>
        <w:lang w:val="es-DO"/>
      </w:rPr>
    </w:pPr>
    <w:r w:rsidRPr="000B21E2">
      <w:rPr>
        <w:color w:val="555C61"/>
        <w:sz w:val="14"/>
        <w:lang w:val="es-DO"/>
      </w:rPr>
      <w:t>Plataforma Farma KPI SFE | Documento de trabajo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95A2D" w14:textId="77777777" w:rsidR="0091094E" w:rsidRPr="000B21E2" w:rsidRDefault="00000000">
    <w:pPr>
      <w:pStyle w:val="Piedepgina"/>
      <w:jc w:val="center"/>
      <w:rPr>
        <w:lang w:val="es-DO"/>
      </w:rPr>
    </w:pPr>
    <w:r w:rsidRPr="000B21E2">
      <w:rPr>
        <w:color w:val="555C61"/>
        <w:sz w:val="14"/>
        <w:lang w:val="es-DO"/>
      </w:rPr>
      <w:t>Plataforma Farma KPI SFE | Documento de trabajo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6E24B" w14:textId="77777777" w:rsidR="00505A25" w:rsidRDefault="00505A25">
      <w:pPr>
        <w:spacing w:after="0" w:line="240" w:lineRule="auto"/>
      </w:pPr>
      <w:r>
        <w:separator/>
      </w:r>
    </w:p>
  </w:footnote>
  <w:footnote w:type="continuationSeparator" w:id="0">
    <w:p w14:paraId="215F6C6D" w14:textId="77777777" w:rsidR="00505A25" w:rsidRDefault="00505A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764173">
    <w:abstractNumId w:val="8"/>
  </w:num>
  <w:num w:numId="2" w16cid:durableId="943850047">
    <w:abstractNumId w:val="6"/>
  </w:num>
  <w:num w:numId="3" w16cid:durableId="82653433">
    <w:abstractNumId w:val="5"/>
  </w:num>
  <w:num w:numId="4" w16cid:durableId="223108488">
    <w:abstractNumId w:val="4"/>
  </w:num>
  <w:num w:numId="5" w16cid:durableId="626012145">
    <w:abstractNumId w:val="7"/>
  </w:num>
  <w:num w:numId="6" w16cid:durableId="2036271064">
    <w:abstractNumId w:val="3"/>
  </w:num>
  <w:num w:numId="7" w16cid:durableId="548616814">
    <w:abstractNumId w:val="2"/>
  </w:num>
  <w:num w:numId="8" w16cid:durableId="1551111091">
    <w:abstractNumId w:val="1"/>
  </w:num>
  <w:num w:numId="9" w16cid:durableId="179988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1E2"/>
    <w:rsid w:val="0015074B"/>
    <w:rsid w:val="0029639D"/>
    <w:rsid w:val="00326F90"/>
    <w:rsid w:val="00483A6F"/>
    <w:rsid w:val="00505A25"/>
    <w:rsid w:val="0091094E"/>
    <w:rsid w:val="00AA1D8D"/>
    <w:rsid w:val="00B47730"/>
    <w:rsid w:val="00C13E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84DB1"/>
  <w14:defaultImageDpi w14:val="300"/>
  <w15:docId w15:val="{22C0B7A8-4889-4B05-8CE6-F1AA28FC1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1326</Words>
  <Characters>7562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Segura Plasencia, Anabelle</cp:lastModifiedBy>
  <cp:revision>2</cp:revision>
  <dcterms:created xsi:type="dcterms:W3CDTF">2026-06-15T12:04:00Z</dcterms:created>
  <dcterms:modified xsi:type="dcterms:W3CDTF">2026-06-15T12:04:00Z</dcterms:modified>
  <cp:category/>
</cp:coreProperties>
</file>