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82A3" w14:textId="77777777" w:rsidR="00BF7F94" w:rsidRDefault="00000000">
      <w:pPr>
        <w:spacing w:before="2000" w:after="200"/>
        <w:jc w:val="center"/>
      </w:pPr>
      <w:r>
        <w:rPr>
          <w:rFonts w:ascii="Cambria" w:eastAsia="Cambria" w:hAnsi="Cambria" w:cs="Cambria"/>
          <w:b/>
          <w:bCs/>
          <w:color w:val="5D6D7E"/>
          <w:sz w:val="26"/>
          <w:szCs w:val="26"/>
        </w:rPr>
        <w:t>MSM — Sistema MIP</w:t>
      </w:r>
    </w:p>
    <w:p w14:paraId="46DF7238" w14:textId="77777777" w:rsidR="00BF7F94" w:rsidRDefault="00000000">
      <w:pPr>
        <w:spacing w:after="400"/>
        <w:jc w:val="center"/>
      </w:pPr>
      <w:r>
        <w:rPr>
          <w:rFonts w:ascii="Cambria" w:eastAsia="Cambria" w:hAnsi="Cambria" w:cs="Cambria"/>
          <w:b/>
          <w:bCs/>
          <w:color w:val="1E2761"/>
          <w:sz w:val="52"/>
          <w:szCs w:val="52"/>
        </w:rPr>
        <w:t>Análisis Estructural de Tablas DIM/FACT</w:t>
      </w:r>
    </w:p>
    <w:p w14:paraId="052DA15E" w14:textId="77777777" w:rsidR="00BF7F94" w:rsidRDefault="00000000">
      <w:pPr>
        <w:spacing w:after="800"/>
        <w:jc w:val="center"/>
      </w:pPr>
      <w:r>
        <w:rPr>
          <w:rFonts w:ascii="Cambria" w:eastAsia="Cambria" w:hAnsi="Cambria" w:cs="Cambria"/>
          <w:b/>
          <w:bCs/>
          <w:color w:val="151A47"/>
          <w:sz w:val="36"/>
          <w:szCs w:val="36"/>
        </w:rPr>
        <w:t>y Propuesta de Corrección para Escalabilidad</w:t>
      </w:r>
    </w:p>
    <w:p w14:paraId="42945084" w14:textId="77777777" w:rsidR="00BF7F94" w:rsidRDefault="00000000">
      <w:pPr>
        <w:spacing w:after="200"/>
        <w:jc w:val="center"/>
      </w:pPr>
      <w:r>
        <w:rPr>
          <w:i/>
          <w:iCs/>
          <w:color w:val="5D6D7E"/>
          <w:sz w:val="24"/>
          <w:szCs w:val="24"/>
        </w:rPr>
        <w:t>Informe técnico de ingeniería de datos</w:t>
      </w:r>
    </w:p>
    <w:p w14:paraId="4EE1A8BA" w14:textId="77777777" w:rsidR="00BF7F94" w:rsidRDefault="00000000">
      <w:pPr>
        <w:spacing w:after="100"/>
        <w:jc w:val="center"/>
      </w:pPr>
      <w:r>
        <w:rPr>
          <w:color w:val="5D6D7E"/>
        </w:rPr>
        <w:t>Preparado para Moises Segura — 21 de junio de 2026</w:t>
      </w:r>
    </w:p>
    <w:p w14:paraId="4212BA11" w14:textId="77777777" w:rsidR="00BF7F94" w:rsidRDefault="00000000">
      <w:pPr>
        <w:spacing w:before="600"/>
        <w:jc w:val="center"/>
      </w:pPr>
      <w:r>
        <w:rPr>
          <w:i/>
          <w:iCs/>
          <w:color w:val="5D6D7E"/>
          <w:sz w:val="19"/>
          <w:szCs w:val="19"/>
        </w:rPr>
        <w:t>Base de evidencia: modelos ORM (</w:t>
      </w:r>
      <w:proofErr w:type="spellStart"/>
      <w:r>
        <w:rPr>
          <w:i/>
          <w:iCs/>
          <w:color w:val="5D6D7E"/>
          <w:sz w:val="19"/>
          <w:szCs w:val="19"/>
        </w:rPr>
        <w:t>SQLAlchemy</w:t>
      </w:r>
      <w:proofErr w:type="spellEnd"/>
      <w:r>
        <w:rPr>
          <w:i/>
          <w:iCs/>
          <w:color w:val="5D6D7E"/>
          <w:sz w:val="19"/>
          <w:szCs w:val="19"/>
        </w:rPr>
        <w:t xml:space="preserve"> 2.0), </w:t>
      </w:r>
      <w:proofErr w:type="spellStart"/>
      <w:r>
        <w:rPr>
          <w:i/>
          <w:iCs/>
          <w:color w:val="5D6D7E"/>
          <w:sz w:val="19"/>
          <w:szCs w:val="19"/>
        </w:rPr>
        <w:t>routers</w:t>
      </w:r>
      <w:proofErr w:type="spellEnd"/>
      <w:r>
        <w:rPr>
          <w:i/>
          <w:iCs/>
          <w:color w:val="5D6D7E"/>
          <w:sz w:val="19"/>
          <w:szCs w:val="19"/>
        </w:rPr>
        <w:t xml:space="preserve"> y servicios </w:t>
      </w:r>
      <w:proofErr w:type="spellStart"/>
      <w:r>
        <w:rPr>
          <w:i/>
          <w:iCs/>
          <w:color w:val="5D6D7E"/>
          <w:sz w:val="19"/>
          <w:szCs w:val="19"/>
        </w:rPr>
        <w:t>FastAPI</w:t>
      </w:r>
      <w:proofErr w:type="spellEnd"/>
      <w:r>
        <w:rPr>
          <w:i/>
          <w:iCs/>
          <w:color w:val="5D6D7E"/>
          <w:sz w:val="19"/>
          <w:szCs w:val="19"/>
        </w:rPr>
        <w:t xml:space="preserve">, migraciones </w:t>
      </w:r>
      <w:proofErr w:type="spellStart"/>
      <w:r>
        <w:rPr>
          <w:i/>
          <w:iCs/>
          <w:color w:val="5D6D7E"/>
          <w:sz w:val="19"/>
          <w:szCs w:val="19"/>
        </w:rPr>
        <w:t>Alembic</w:t>
      </w:r>
      <w:proofErr w:type="spellEnd"/>
      <w:r>
        <w:rPr>
          <w:i/>
          <w:iCs/>
          <w:color w:val="5D6D7E"/>
          <w:sz w:val="19"/>
          <w:szCs w:val="19"/>
        </w:rPr>
        <w:t>, archivos Excel de carga (DIMS_FACTS_V2) y documento de diseño de la aplicación.</w:t>
      </w:r>
    </w:p>
    <w:p w14:paraId="6378F77D" w14:textId="77777777" w:rsidR="00BF7F94" w:rsidRDefault="00000000">
      <w:pPr>
        <w:pStyle w:val="Ttulo1"/>
      </w:pPr>
      <w:r>
        <w:t>1. Resumen Ejecutivo</w:t>
      </w:r>
    </w:p>
    <w:p w14:paraId="32BB6408" w14:textId="77777777" w:rsidR="00BF7F94" w:rsidRDefault="00000000">
      <w:pPr>
        <w:spacing w:after="160"/>
      </w:pPr>
      <w:r>
        <w:t xml:space="preserve">Este informe analiza la estructura actual de las tablas DIM_* y FACT_* del sistema MSM (esquemas </w:t>
      </w:r>
      <w:proofErr w:type="spellStart"/>
      <w:r>
        <w:t>Config</w:t>
      </w:r>
      <w:proofErr w:type="spellEnd"/>
      <w:r>
        <w:t xml:space="preserve">, DW, ETL, Audit y Security) a partir de los modelos ORM, los </w:t>
      </w:r>
      <w:proofErr w:type="spellStart"/>
      <w:r>
        <w:t>routers</w:t>
      </w:r>
      <w:proofErr w:type="spellEnd"/>
      <w:r>
        <w:t xml:space="preserve"> y servicios que las pueblan, las migraciones </w:t>
      </w:r>
      <w:proofErr w:type="spellStart"/>
      <w:r>
        <w:t>Alembic</w:t>
      </w:r>
      <w:proofErr w:type="spellEnd"/>
      <w:r>
        <w:t xml:space="preserve"> vigentes, los archivos Excel de carga, y el documento de diseño de la aplicación. El objetivo es identificar dónde la estructura actual compromete la escalabilidad o introduce riesgo de falla futura, y proponer correcciones concretas, compatibles con las convenciones ya establecidas en el proyecto (migraciones </w:t>
      </w:r>
      <w:proofErr w:type="spellStart"/>
      <w:r>
        <w:t>Alembic</w:t>
      </w:r>
      <w:proofErr w:type="spellEnd"/>
      <w:r>
        <w:t xml:space="preserve"> con </w:t>
      </w:r>
      <w:proofErr w:type="spellStart"/>
      <w:r>
        <w:t>include_schemas</w:t>
      </w:r>
      <w:proofErr w:type="spellEnd"/>
      <w:r>
        <w:t xml:space="preserve">=True, motor de Score/Ranking en </w:t>
      </w:r>
      <w:proofErr w:type="spellStart"/>
      <w:r>
        <w:t>stored</w:t>
      </w:r>
      <w:proofErr w:type="spellEnd"/>
      <w:r>
        <w:t xml:space="preserve"> </w:t>
      </w:r>
      <w:proofErr w:type="spellStart"/>
      <w:r>
        <w:t>procedures</w:t>
      </w:r>
      <w:proofErr w:type="spellEnd"/>
      <w:r>
        <w:t xml:space="preserve"> T-SQL, motor de Categorización 100% Python, sintaxis </w:t>
      </w:r>
      <w:proofErr w:type="spellStart"/>
      <w:r>
        <w:t>SQLAlchemy</w:t>
      </w:r>
      <w:proofErr w:type="spellEnd"/>
      <w:r>
        <w:t xml:space="preserve"> 2.0).</w:t>
      </w:r>
    </w:p>
    <w:p w14:paraId="59F956C7" w14:textId="77777777" w:rsidR="00BF7F94" w:rsidRDefault="00000000">
      <w:pPr>
        <w:spacing w:after="160"/>
      </w:pPr>
      <w:r>
        <w:t>Se identificaron 16 hallazgos distintos, todos respaldados con cita de archivo y línea de código. Cinco son de severidad CRÍTICA: tres comprometen directamente la integridad del cálculo del Score Integral o del modelo de seguridad (RBAC), y dos tienen su origen en la conflación de claves técnicas con claves de negocio durante la importación masiva de Excel — un patrón con riesgo explícitamente reconocido en el propio código fuente, pero no resuelto. Los hallazgos restantes son de severidad ALTA (5), MEDIA (5) y GOBERNANZA (1).</w:t>
      </w:r>
    </w:p>
    <w:p w14:paraId="4D830242" w14:textId="77777777" w:rsidR="00BF7F94" w:rsidRDefault="00000000">
      <w:pPr>
        <w:spacing w:after="160"/>
      </w:pPr>
      <w:r>
        <w:t xml:space="preserve">El hilo común detrás de la mayoría de los hallazgos críticos no es la falta de buenas prácticas en el código —el proyecto sí las aplica correctamente en varios lugares (por ejemplo, el modelo Indicador implementa de forma impecable la unicidad compuesta por país)— sino la falta de consistencia en aplicarlas: el mismo patrón correcto que protege a Indicador no se replicó en RM; el mismo cuidado de declarar Foreign Keys que protege a </w:t>
      </w:r>
      <w:proofErr w:type="spellStart"/>
      <w:r>
        <w:t>rm_id</w:t>
      </w:r>
      <w:proofErr w:type="spellEnd"/>
      <w:r>
        <w:t xml:space="preserve"> en varias tablas no se aplicó a </w:t>
      </w:r>
      <w:proofErr w:type="spellStart"/>
      <w:r>
        <w:t>gerente_id</w:t>
      </w:r>
      <w:proofErr w:type="spellEnd"/>
      <w:r>
        <w:t xml:space="preserve"> en esas mismas tablas. Esto sugiere que la corrección más alta prioridad no es solo “arreglar estos 16 puntos” sino instaurar una revisión sistemática de modelos nuevos contra los patrones ya correctos del propio código.</w:t>
      </w:r>
    </w:p>
    <w:tbl>
      <w:tblPr>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980"/>
        <w:gridCol w:w="1080"/>
        <w:gridCol w:w="7003"/>
      </w:tblGrid>
      <w:tr w:rsidR="00BF7F94" w14:paraId="193BD65C" w14:textId="77777777" w:rsidTr="00DF4566">
        <w:tblPrEx>
          <w:tblCellMar>
            <w:top w:w="0" w:type="dxa"/>
            <w:bottom w:w="0" w:type="dxa"/>
          </w:tblCellMar>
        </w:tblPrEx>
        <w:tc>
          <w:tcPr>
            <w:tcW w:w="1617"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35FA8262" w14:textId="77777777" w:rsidR="00BF7F94" w:rsidRDefault="00000000">
            <w:r>
              <w:rPr>
                <w:b/>
                <w:bCs/>
                <w:color w:val="FFFFFF"/>
                <w:sz w:val="21"/>
                <w:szCs w:val="21"/>
              </w:rPr>
              <w:t>Severidad</w:t>
            </w:r>
          </w:p>
        </w:tc>
        <w:tc>
          <w:tcPr>
            <w:tcW w:w="198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6668AC5C" w14:textId="77777777" w:rsidR="00BF7F94" w:rsidRDefault="00000000">
            <w:r>
              <w:rPr>
                <w:b/>
                <w:bCs/>
                <w:color w:val="FFFFFF"/>
                <w:sz w:val="21"/>
                <w:szCs w:val="21"/>
              </w:rPr>
              <w:t>Hallazgos</w:t>
            </w:r>
          </w:p>
        </w:tc>
        <w:tc>
          <w:tcPr>
            <w:tcW w:w="108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58A93F8E" w14:textId="77777777" w:rsidR="00BF7F94" w:rsidRDefault="00000000">
            <w:r>
              <w:rPr>
                <w:b/>
                <w:bCs/>
                <w:color w:val="FFFFFF"/>
                <w:sz w:val="21"/>
                <w:szCs w:val="21"/>
              </w:rPr>
              <w:t>Cantidad</w:t>
            </w:r>
          </w:p>
        </w:tc>
        <w:tc>
          <w:tcPr>
            <w:tcW w:w="7003"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6FF80745" w14:textId="77777777" w:rsidR="00BF7F94" w:rsidRDefault="00000000">
            <w:r>
              <w:rPr>
                <w:b/>
                <w:bCs/>
                <w:color w:val="FFFFFF"/>
                <w:sz w:val="21"/>
                <w:szCs w:val="21"/>
              </w:rPr>
              <w:t>Significado</w:t>
            </w:r>
          </w:p>
        </w:tc>
      </w:tr>
      <w:tr w:rsidR="00BF7F94" w14:paraId="0C598CC3" w14:textId="77777777" w:rsidTr="00DF4566">
        <w:tblPrEx>
          <w:tblCellMar>
            <w:top w:w="0" w:type="dxa"/>
            <w:bottom w:w="0" w:type="dxa"/>
          </w:tblCellMar>
        </w:tblPrEx>
        <w:tc>
          <w:tcPr>
            <w:tcW w:w="1617" w:type="dxa"/>
            <w:tcBorders>
              <w:top w:val="single" w:sz="2" w:space="0" w:color="D5DBDB"/>
              <w:left w:val="single" w:sz="2" w:space="0" w:color="D5DBDB"/>
              <w:bottom w:val="single" w:sz="2" w:space="0" w:color="D5DBDB"/>
              <w:right w:val="single" w:sz="2" w:space="0" w:color="D5DBDB"/>
            </w:tcBorders>
            <w:shd w:val="clear" w:color="auto" w:fill="FBEAE8"/>
            <w:tcMar>
              <w:top w:w="100" w:type="dxa"/>
              <w:left w:w="140" w:type="dxa"/>
              <w:bottom w:w="100" w:type="dxa"/>
              <w:right w:w="140" w:type="dxa"/>
            </w:tcMar>
          </w:tcPr>
          <w:p w14:paraId="279B374E" w14:textId="77777777" w:rsidR="00BF7F94" w:rsidRDefault="00000000">
            <w:r>
              <w:rPr>
                <w:b/>
                <w:bCs/>
                <w:color w:val="B03A2E"/>
                <w:sz w:val="20"/>
                <w:szCs w:val="20"/>
              </w:rPr>
              <w:lastRenderedPageBreak/>
              <w:t>CRÍTICA</w:t>
            </w:r>
          </w:p>
        </w:tc>
        <w:tc>
          <w:tcPr>
            <w:tcW w:w="19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08A56170" w14:textId="77777777" w:rsidR="00BF7F94" w:rsidRDefault="00000000">
            <w:r>
              <w:rPr>
                <w:sz w:val="20"/>
                <w:szCs w:val="20"/>
              </w:rPr>
              <w:t>F1, F2, F3, F4, F9</w:t>
            </w:r>
          </w:p>
        </w:tc>
        <w:tc>
          <w:tcPr>
            <w:tcW w:w="10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4B97BEB5" w14:textId="77777777" w:rsidR="00BF7F94" w:rsidRDefault="00000000">
            <w:pPr>
              <w:jc w:val="center"/>
            </w:pPr>
            <w:r>
              <w:rPr>
                <w:b/>
                <w:bCs/>
                <w:sz w:val="20"/>
                <w:szCs w:val="20"/>
              </w:rPr>
              <w:t>5</w:t>
            </w:r>
          </w:p>
        </w:tc>
        <w:tc>
          <w:tcPr>
            <w:tcW w:w="7003"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177C085D" w14:textId="77777777" w:rsidR="00BF7F94" w:rsidRDefault="00000000">
            <w:r>
              <w:rPr>
                <w:sz w:val="20"/>
                <w:szCs w:val="20"/>
              </w:rPr>
              <w:t>Riesgo de seguridad, pérdida/corrupción de datos, o cálculo incorrecto del Score/Ranking ya en producción.</w:t>
            </w:r>
          </w:p>
        </w:tc>
      </w:tr>
      <w:tr w:rsidR="00BF7F94" w14:paraId="610E5029" w14:textId="77777777" w:rsidTr="00DF4566">
        <w:tblPrEx>
          <w:tblCellMar>
            <w:top w:w="0" w:type="dxa"/>
            <w:bottom w:w="0" w:type="dxa"/>
          </w:tblCellMar>
        </w:tblPrEx>
        <w:tc>
          <w:tcPr>
            <w:tcW w:w="1617" w:type="dxa"/>
            <w:tcBorders>
              <w:top w:val="single" w:sz="2" w:space="0" w:color="D5DBDB"/>
              <w:left w:val="single" w:sz="2" w:space="0" w:color="D5DBDB"/>
              <w:bottom w:val="single" w:sz="2" w:space="0" w:color="D5DBDB"/>
              <w:right w:val="single" w:sz="2" w:space="0" w:color="D5DBDB"/>
            </w:tcBorders>
            <w:shd w:val="clear" w:color="auto" w:fill="FDF2E3"/>
            <w:tcMar>
              <w:top w:w="100" w:type="dxa"/>
              <w:left w:w="140" w:type="dxa"/>
              <w:bottom w:w="100" w:type="dxa"/>
              <w:right w:w="140" w:type="dxa"/>
            </w:tcMar>
          </w:tcPr>
          <w:p w14:paraId="6279D86C" w14:textId="77777777" w:rsidR="00BF7F94" w:rsidRDefault="00000000">
            <w:r>
              <w:rPr>
                <w:b/>
                <w:bCs/>
                <w:color w:val="B9770E"/>
                <w:sz w:val="20"/>
                <w:szCs w:val="20"/>
              </w:rPr>
              <w:t>ALTA</w:t>
            </w:r>
          </w:p>
        </w:tc>
        <w:tc>
          <w:tcPr>
            <w:tcW w:w="19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770A14A" w14:textId="77777777" w:rsidR="00BF7F94" w:rsidRDefault="00000000">
            <w:r>
              <w:rPr>
                <w:sz w:val="20"/>
                <w:szCs w:val="20"/>
              </w:rPr>
              <w:t>F5, F6, F7, F10, F11</w:t>
            </w:r>
          </w:p>
        </w:tc>
        <w:tc>
          <w:tcPr>
            <w:tcW w:w="10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36E88FF7" w14:textId="77777777" w:rsidR="00BF7F94" w:rsidRDefault="00000000">
            <w:pPr>
              <w:jc w:val="center"/>
            </w:pPr>
            <w:r>
              <w:rPr>
                <w:b/>
                <w:bCs/>
                <w:sz w:val="20"/>
                <w:szCs w:val="20"/>
              </w:rPr>
              <w:t>5</w:t>
            </w:r>
          </w:p>
        </w:tc>
        <w:tc>
          <w:tcPr>
            <w:tcW w:w="7003"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12E7C8C8" w14:textId="77777777" w:rsidR="00BF7F94" w:rsidRDefault="00000000">
            <w:r>
              <w:rPr>
                <w:sz w:val="20"/>
                <w:szCs w:val="20"/>
              </w:rPr>
              <w:t>Riesgo de inconsistencia de datos o de procesos que dependen de disciplina operativa en vez de garantías de base de datos.</w:t>
            </w:r>
          </w:p>
        </w:tc>
      </w:tr>
      <w:tr w:rsidR="00BF7F94" w14:paraId="1158F671" w14:textId="77777777" w:rsidTr="00DF4566">
        <w:tblPrEx>
          <w:tblCellMar>
            <w:top w:w="0" w:type="dxa"/>
            <w:bottom w:w="0" w:type="dxa"/>
          </w:tblCellMar>
        </w:tblPrEx>
        <w:tc>
          <w:tcPr>
            <w:tcW w:w="1617" w:type="dxa"/>
            <w:tcBorders>
              <w:top w:val="single" w:sz="2" w:space="0" w:color="D5DBDB"/>
              <w:left w:val="single" w:sz="2" w:space="0" w:color="D5DBDB"/>
              <w:bottom w:val="single" w:sz="2" w:space="0" w:color="D5DBDB"/>
              <w:right w:val="single" w:sz="2" w:space="0" w:color="D5DBDB"/>
            </w:tcBorders>
            <w:shd w:val="clear" w:color="auto" w:fill="FBF3D9"/>
            <w:tcMar>
              <w:top w:w="100" w:type="dxa"/>
              <w:left w:w="140" w:type="dxa"/>
              <w:bottom w:w="100" w:type="dxa"/>
              <w:right w:w="140" w:type="dxa"/>
            </w:tcMar>
          </w:tcPr>
          <w:p w14:paraId="7D2614E0" w14:textId="77777777" w:rsidR="00BF7F94" w:rsidRDefault="00000000">
            <w:r>
              <w:rPr>
                <w:b/>
                <w:bCs/>
                <w:color w:val="7D6608"/>
                <w:sz w:val="20"/>
                <w:szCs w:val="20"/>
              </w:rPr>
              <w:t>MEDIA</w:t>
            </w:r>
          </w:p>
        </w:tc>
        <w:tc>
          <w:tcPr>
            <w:tcW w:w="19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38FBC95D" w14:textId="77777777" w:rsidR="00BF7F94" w:rsidRDefault="00000000">
            <w:r>
              <w:rPr>
                <w:sz w:val="20"/>
                <w:szCs w:val="20"/>
              </w:rPr>
              <w:t>F8, F12, F13, F14, F16</w:t>
            </w:r>
          </w:p>
        </w:tc>
        <w:tc>
          <w:tcPr>
            <w:tcW w:w="10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2E68D585" w14:textId="77777777" w:rsidR="00BF7F94" w:rsidRDefault="00000000">
            <w:pPr>
              <w:jc w:val="center"/>
            </w:pPr>
            <w:r>
              <w:rPr>
                <w:b/>
                <w:bCs/>
                <w:sz w:val="20"/>
                <w:szCs w:val="20"/>
              </w:rPr>
              <w:t>5</w:t>
            </w:r>
          </w:p>
        </w:tc>
        <w:tc>
          <w:tcPr>
            <w:tcW w:w="7003"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06D415E7" w14:textId="77777777" w:rsidR="00BF7F94" w:rsidRDefault="00000000">
            <w:r>
              <w:rPr>
                <w:sz w:val="20"/>
                <w:szCs w:val="20"/>
              </w:rPr>
              <w:t>Riesgo de mantenibilidad, calidad de datos o gobernanza; no compromete el cálculo actual.</w:t>
            </w:r>
          </w:p>
        </w:tc>
      </w:tr>
      <w:tr w:rsidR="00BF7F94" w14:paraId="69EEA574" w14:textId="77777777" w:rsidTr="00DF4566">
        <w:tblPrEx>
          <w:tblCellMar>
            <w:top w:w="0" w:type="dxa"/>
            <w:bottom w:w="0" w:type="dxa"/>
          </w:tblCellMar>
        </w:tblPrEx>
        <w:tc>
          <w:tcPr>
            <w:tcW w:w="1617" w:type="dxa"/>
            <w:tcBorders>
              <w:top w:val="single" w:sz="2" w:space="0" w:color="D5DBDB"/>
              <w:left w:val="single" w:sz="2" w:space="0" w:color="D5DBDB"/>
              <w:bottom w:val="single" w:sz="2" w:space="0" w:color="D5DBDB"/>
              <w:right w:val="single" w:sz="2" w:space="0" w:color="D5DBDB"/>
            </w:tcBorders>
            <w:shd w:val="clear" w:color="auto" w:fill="EEF1F2"/>
            <w:tcMar>
              <w:top w:w="100" w:type="dxa"/>
              <w:left w:w="140" w:type="dxa"/>
              <w:bottom w:w="100" w:type="dxa"/>
              <w:right w:w="140" w:type="dxa"/>
            </w:tcMar>
          </w:tcPr>
          <w:p w14:paraId="1CF31762" w14:textId="77777777" w:rsidR="00BF7F94" w:rsidRDefault="00000000">
            <w:r>
              <w:rPr>
                <w:b/>
                <w:bCs/>
                <w:color w:val="566573"/>
                <w:sz w:val="20"/>
                <w:szCs w:val="20"/>
              </w:rPr>
              <w:t>GOBERNANZA</w:t>
            </w:r>
          </w:p>
        </w:tc>
        <w:tc>
          <w:tcPr>
            <w:tcW w:w="19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34D4C545" w14:textId="77777777" w:rsidR="00BF7F94" w:rsidRDefault="00000000">
            <w:r>
              <w:rPr>
                <w:sz w:val="20"/>
                <w:szCs w:val="20"/>
              </w:rPr>
              <w:t>F15</w:t>
            </w:r>
          </w:p>
        </w:tc>
        <w:tc>
          <w:tcPr>
            <w:tcW w:w="10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1A0CA85" w14:textId="77777777" w:rsidR="00BF7F94" w:rsidRDefault="00000000">
            <w:pPr>
              <w:jc w:val="center"/>
            </w:pPr>
            <w:r>
              <w:rPr>
                <w:b/>
                <w:bCs/>
                <w:sz w:val="20"/>
                <w:szCs w:val="20"/>
              </w:rPr>
              <w:t>1</w:t>
            </w:r>
          </w:p>
        </w:tc>
        <w:tc>
          <w:tcPr>
            <w:tcW w:w="7003"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0864414" w14:textId="77777777" w:rsidR="00BF7F94" w:rsidRDefault="00000000">
            <w:r>
              <w:rPr>
                <w:sz w:val="20"/>
                <w:szCs w:val="20"/>
              </w:rPr>
              <w:t>Riesgo de que decisiones futuras se basen en documentación desactualizada en lugar del código fuente vigente.</w:t>
            </w:r>
          </w:p>
        </w:tc>
      </w:tr>
    </w:tbl>
    <w:p w14:paraId="034E4C74" w14:textId="77777777" w:rsidR="00BF7F94" w:rsidRDefault="00000000">
      <w:pPr>
        <w:pStyle w:val="Ttulo1"/>
        <w:pageBreakBefore/>
      </w:pPr>
      <w:r>
        <w:lastRenderedPageBreak/>
        <w:t>2. Alcance y Metodología</w:t>
      </w:r>
    </w:p>
    <w:p w14:paraId="6DD7B489" w14:textId="77777777" w:rsidR="00BF7F94" w:rsidRDefault="00000000">
      <w:pPr>
        <w:spacing w:after="160"/>
      </w:pPr>
      <w:r>
        <w:t>El análisis cubrió las siguientes fuentes, leídas línea por línea:</w:t>
      </w:r>
    </w:p>
    <w:p w14:paraId="0735E708" w14:textId="77777777" w:rsidR="00BF7F94" w:rsidRDefault="00000000">
      <w:pPr>
        <w:pStyle w:val="Prrafodelista"/>
        <w:numPr>
          <w:ilvl w:val="0"/>
          <w:numId w:val="2"/>
        </w:numPr>
        <w:spacing w:after="100"/>
      </w:pPr>
      <w:r>
        <w:t>Modelos ORM completos: app/</w:t>
      </w:r>
      <w:proofErr w:type="spellStart"/>
      <w:r>
        <w:t>models</w:t>
      </w:r>
      <w:proofErr w:type="spellEnd"/>
      <w:r>
        <w:t>/dimensiones.py, app/</w:t>
      </w:r>
      <w:proofErr w:type="spellStart"/>
      <w:r>
        <w:t>models</w:t>
      </w:r>
      <w:proofErr w:type="spellEnd"/>
      <w:r>
        <w:t>/hechos.py, app/</w:t>
      </w:r>
      <w:proofErr w:type="spellStart"/>
      <w:r>
        <w:t>models</w:t>
      </w:r>
      <w:proofErr w:type="spellEnd"/>
      <w:r>
        <w:t>/usuario.py.</w:t>
      </w:r>
    </w:p>
    <w:p w14:paraId="39ECE0AB" w14:textId="77777777" w:rsidR="00BF7F94" w:rsidRDefault="00000000">
      <w:pPr>
        <w:pStyle w:val="Prrafodelista"/>
        <w:numPr>
          <w:ilvl w:val="0"/>
          <w:numId w:val="2"/>
        </w:numPr>
        <w:spacing w:after="100"/>
      </w:pPr>
      <w:r>
        <w:t>Motor de Score Integral y de recálculo: app/</w:t>
      </w:r>
      <w:proofErr w:type="spellStart"/>
      <w:r>
        <w:t>services</w:t>
      </w:r>
      <w:proofErr w:type="spellEnd"/>
      <w:r>
        <w:t>/iup_service.py, app/</w:t>
      </w:r>
      <w:proofErr w:type="spellStart"/>
      <w:r>
        <w:t>services</w:t>
      </w:r>
      <w:proofErr w:type="spellEnd"/>
      <w:r>
        <w:t>/recalculo_service.py.</w:t>
      </w:r>
    </w:p>
    <w:p w14:paraId="4F73D3E4" w14:textId="77777777" w:rsidR="00BF7F94" w:rsidRDefault="00000000">
      <w:pPr>
        <w:pStyle w:val="Prrafodelista"/>
        <w:numPr>
          <w:ilvl w:val="0"/>
          <w:numId w:val="2"/>
        </w:numPr>
        <w:spacing w:after="100"/>
      </w:pPr>
      <w:r>
        <w:t xml:space="preserve">Importación masiva de catálogos: app/api/v1/routers/dims.py (incluyendo el </w:t>
      </w:r>
      <w:proofErr w:type="spellStart"/>
      <w:r>
        <w:t>parser</w:t>
      </w:r>
      <w:proofErr w:type="spellEnd"/>
      <w:r>
        <w:t xml:space="preserve"> posicional de la hoja “Tablas RM”).</w:t>
      </w:r>
    </w:p>
    <w:p w14:paraId="2994AE84" w14:textId="77777777" w:rsidR="00BF7F94" w:rsidRDefault="00000000">
      <w:pPr>
        <w:pStyle w:val="Prrafodelista"/>
        <w:numPr>
          <w:ilvl w:val="0"/>
          <w:numId w:val="2"/>
        </w:numPr>
        <w:spacing w:after="100"/>
      </w:pPr>
      <w:r>
        <w:t>Motor ETL de indicadores de desempeño: app/</w:t>
      </w:r>
      <w:proofErr w:type="spellStart"/>
      <w:r>
        <w:t>services</w:t>
      </w:r>
      <w:proofErr w:type="spellEnd"/>
      <w:r>
        <w:t>/etl_service.py.</w:t>
      </w:r>
    </w:p>
    <w:p w14:paraId="47F7CBE1" w14:textId="77777777" w:rsidR="00BF7F94" w:rsidRDefault="00000000">
      <w:pPr>
        <w:pStyle w:val="Prrafodelista"/>
        <w:numPr>
          <w:ilvl w:val="0"/>
          <w:numId w:val="2"/>
        </w:numPr>
        <w:spacing w:after="100"/>
      </w:pPr>
      <w:r>
        <w:t>Servicios de los dos módulos nuevos con motor 100% Python: app/services/categorizacion_service.py y app/</w:t>
      </w:r>
      <w:proofErr w:type="spellStart"/>
      <w:r>
        <w:t>services</w:t>
      </w:r>
      <w:proofErr w:type="spellEnd"/>
      <w:r>
        <w:t>/cobertura_predictiva_service.py.</w:t>
      </w:r>
    </w:p>
    <w:p w14:paraId="08554CFC" w14:textId="77777777" w:rsidR="00BF7F94" w:rsidRDefault="00000000">
      <w:pPr>
        <w:pStyle w:val="Prrafodelista"/>
        <w:numPr>
          <w:ilvl w:val="0"/>
          <w:numId w:val="2"/>
        </w:numPr>
        <w:spacing w:after="100"/>
      </w:pPr>
      <w:r>
        <w:t xml:space="preserve">Listado de migraciones </w:t>
      </w:r>
      <w:proofErr w:type="spellStart"/>
      <w:r>
        <w:t>Alembic</w:t>
      </w:r>
      <w:proofErr w:type="spellEnd"/>
      <w:r>
        <w:t xml:space="preserve"> versionadas (≈20 archivos) y el documento de diseño de la aplicación (MSM.docx) junto con el documento de requerimientos original.</w:t>
      </w:r>
    </w:p>
    <w:p w14:paraId="4B7715A5" w14:textId="77777777" w:rsidR="00BF7F94" w:rsidRDefault="00000000">
      <w:pPr>
        <w:pStyle w:val="Prrafodelista"/>
        <w:numPr>
          <w:ilvl w:val="0"/>
          <w:numId w:val="2"/>
        </w:numPr>
        <w:spacing w:after="100"/>
      </w:pPr>
      <w:r>
        <w:t>Estructura real de los archivos Excel de carga en DIMS_FACTS_V2/ (DIM_MIP_FINAL.xlsx, FACT_MIP_FINAL.xlsx).</w:t>
      </w:r>
    </w:p>
    <w:p w14:paraId="32863A54" w14:textId="77777777" w:rsidR="00BF7F94" w:rsidRDefault="00000000">
      <w:pPr>
        <w:spacing w:after="160"/>
      </w:pPr>
      <w:r>
        <w:t xml:space="preserve">Cada hallazgo de </w:t>
      </w:r>
      <w:proofErr w:type="gramStart"/>
      <w:r>
        <w:t>este informe cita</w:t>
      </w:r>
      <w:proofErr w:type="gramEnd"/>
      <w:r>
        <w:t xml:space="preserve"> el archivo y, cuando aplica, el número de línea aproximado donde se verificó directamente en el código — no se incluyen suposiciones sin evidencia. Cuando una hipótesis inicial fue descartada al leer el código (por ejemplo, se confirmó que la hoja DIM_TIEMPO sí es reconocida por el importador, contrario a lo que sugiere §11 de CLAUDE.md), se documenta como tal en el hallazgo correspondiente (F8).</w:t>
      </w:r>
    </w:p>
    <w:p w14:paraId="627864C2" w14:textId="77777777" w:rsidR="00BF7F94" w:rsidRDefault="00000000">
      <w:pPr>
        <w:pStyle w:val="Ttulo1"/>
        <w:pageBreakBefore/>
      </w:pPr>
      <w:r>
        <w:lastRenderedPageBreak/>
        <w:t>3. Mapa Actual de la Arquitectura de Datos</w:t>
      </w:r>
    </w:p>
    <w:p w14:paraId="3FBE41D1" w14:textId="77777777" w:rsidR="00BF7F94" w:rsidRDefault="00000000">
      <w:pPr>
        <w:spacing w:after="160"/>
      </w:pPr>
      <w:r>
        <w:t>La base de datos SQL Server (SCGCPR) organiza las tablas en cinco esquemas:</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2568"/>
        <w:gridCol w:w="4625"/>
      </w:tblGrid>
      <w:tr w:rsidR="00BF7F94" w14:paraId="05B846B5" w14:textId="77777777">
        <w:tblPrEx>
          <w:tblCellMar>
            <w:top w:w="0" w:type="dxa"/>
            <w:bottom w:w="0" w:type="dxa"/>
          </w:tblCellMar>
        </w:tblPrEx>
        <w:tc>
          <w:tcPr>
            <w:tcW w:w="292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00EFB284" w14:textId="77777777" w:rsidR="00BF7F94" w:rsidRDefault="00000000">
            <w:r>
              <w:rPr>
                <w:b/>
                <w:bCs/>
                <w:color w:val="FFFFFF"/>
                <w:sz w:val="20"/>
                <w:szCs w:val="20"/>
              </w:rPr>
              <w:t>Esquema</w:t>
            </w:r>
          </w:p>
        </w:tc>
        <w:tc>
          <w:tcPr>
            <w:tcW w:w="292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06A01F4A" w14:textId="77777777" w:rsidR="00BF7F94" w:rsidRDefault="00000000">
            <w:r>
              <w:rPr>
                <w:b/>
                <w:bCs/>
                <w:color w:val="FFFFFF"/>
                <w:sz w:val="20"/>
                <w:szCs w:val="20"/>
              </w:rPr>
              <w:t>Propósito</w:t>
            </w:r>
          </w:p>
        </w:tc>
        <w:tc>
          <w:tcPr>
            <w:tcW w:w="292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47DD093D" w14:textId="77777777" w:rsidR="00BF7F94" w:rsidRDefault="00000000">
            <w:r>
              <w:rPr>
                <w:b/>
                <w:bCs/>
                <w:color w:val="FFFFFF"/>
                <w:sz w:val="20"/>
                <w:szCs w:val="20"/>
              </w:rPr>
              <w:t>Tablas representativas</w:t>
            </w:r>
          </w:p>
        </w:tc>
      </w:tr>
      <w:tr w:rsidR="00BF7F94" w14:paraId="6F6F7210" w14:textId="77777777">
        <w:tblPrEx>
          <w:tblCellMar>
            <w:top w:w="0" w:type="dxa"/>
            <w:bottom w:w="0" w:type="dxa"/>
          </w:tblCellMar>
        </w:tblPrEx>
        <w:tc>
          <w:tcPr>
            <w:tcW w:w="16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097D444E" w14:textId="77777777" w:rsidR="00BF7F94" w:rsidRDefault="00000000">
            <w:proofErr w:type="spellStart"/>
            <w:r>
              <w:rPr>
                <w:b/>
                <w:bCs/>
                <w:sz w:val="20"/>
                <w:szCs w:val="20"/>
              </w:rPr>
              <w:t>Config</w:t>
            </w:r>
            <w:proofErr w:type="spellEnd"/>
          </w:p>
        </w:tc>
        <w:tc>
          <w:tcPr>
            <w:tcW w:w="29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25B220CE" w14:textId="77777777" w:rsidR="00BF7F94" w:rsidRDefault="00000000">
            <w:r>
              <w:rPr>
                <w:sz w:val="20"/>
                <w:szCs w:val="20"/>
              </w:rPr>
              <w:t>Catálogos maestros (DIM_*)</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3DA148B7" w14:textId="77777777" w:rsidR="00BF7F94" w:rsidRDefault="00000000">
            <w:r>
              <w:rPr>
                <w:sz w:val="20"/>
                <w:szCs w:val="20"/>
              </w:rPr>
              <w:t>País, Línea, Gerente, RM, Indicador, Ciclo, Médico, Categoría Médica, Receptividad LSII, Target Médico, Feriado, Parámetro de Cobertura, entre otros.</w:t>
            </w:r>
          </w:p>
        </w:tc>
      </w:tr>
      <w:tr w:rsidR="00BF7F94" w14:paraId="5E5A6E17" w14:textId="77777777">
        <w:tblPrEx>
          <w:tblCellMar>
            <w:top w:w="0" w:type="dxa"/>
            <w:bottom w:w="0" w:type="dxa"/>
          </w:tblCellMar>
        </w:tblPrEx>
        <w:tc>
          <w:tcPr>
            <w:tcW w:w="16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2177CAFF" w14:textId="77777777" w:rsidR="00BF7F94" w:rsidRDefault="00000000">
            <w:r>
              <w:rPr>
                <w:b/>
                <w:bCs/>
                <w:sz w:val="20"/>
                <w:szCs w:val="20"/>
              </w:rPr>
              <w:t>DW</w:t>
            </w:r>
          </w:p>
        </w:tc>
        <w:tc>
          <w:tcPr>
            <w:tcW w:w="29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0BB363CB" w14:textId="77777777" w:rsidR="00BF7F94" w:rsidRDefault="00000000">
            <w:r>
              <w:rPr>
                <w:sz w:val="20"/>
                <w:szCs w:val="20"/>
              </w:rPr>
              <w:t xml:space="preserve">Hechos: entrada + salidas calculadas + derivadas de </w:t>
            </w:r>
            <w:proofErr w:type="spellStart"/>
            <w:r>
              <w:rPr>
                <w:sz w:val="20"/>
                <w:szCs w:val="20"/>
              </w:rPr>
              <w:t>dashboard</w:t>
            </w:r>
            <w:proofErr w:type="spellEnd"/>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C081D56" w14:textId="77777777" w:rsidR="00BF7F94" w:rsidRDefault="00000000">
            <w:proofErr w:type="spellStart"/>
            <w:r>
              <w:rPr>
                <w:sz w:val="20"/>
                <w:szCs w:val="20"/>
              </w:rPr>
              <w:t>FACT_ResultadoIndicador</w:t>
            </w:r>
            <w:proofErr w:type="spellEnd"/>
            <w:r>
              <w:rPr>
                <w:sz w:val="20"/>
                <w:szCs w:val="20"/>
              </w:rPr>
              <w:t xml:space="preserve"> (entrada), </w:t>
            </w:r>
            <w:proofErr w:type="spellStart"/>
            <w:r>
              <w:rPr>
                <w:sz w:val="20"/>
                <w:szCs w:val="20"/>
              </w:rPr>
              <w:t>FACT_ScoreIntegralRM</w:t>
            </w:r>
            <w:proofErr w:type="spellEnd"/>
            <w:r>
              <w:rPr>
                <w:sz w:val="20"/>
                <w:szCs w:val="20"/>
              </w:rPr>
              <w:t xml:space="preserve"> / </w:t>
            </w:r>
            <w:proofErr w:type="spellStart"/>
            <w:r>
              <w:rPr>
                <w:sz w:val="20"/>
                <w:szCs w:val="20"/>
              </w:rPr>
              <w:t>FACT_RankingRM</w:t>
            </w:r>
            <w:proofErr w:type="spellEnd"/>
            <w:r>
              <w:rPr>
                <w:sz w:val="20"/>
                <w:szCs w:val="20"/>
              </w:rPr>
              <w:t xml:space="preserve"> / </w:t>
            </w:r>
            <w:proofErr w:type="spellStart"/>
            <w:r>
              <w:rPr>
                <w:sz w:val="20"/>
                <w:szCs w:val="20"/>
              </w:rPr>
              <w:t>FACT_RankingGerente</w:t>
            </w:r>
            <w:proofErr w:type="spellEnd"/>
            <w:r>
              <w:rPr>
                <w:sz w:val="20"/>
                <w:szCs w:val="20"/>
              </w:rPr>
              <w:t xml:space="preserve"> / </w:t>
            </w:r>
            <w:proofErr w:type="spellStart"/>
            <w:r>
              <w:rPr>
                <w:sz w:val="20"/>
                <w:szCs w:val="20"/>
              </w:rPr>
              <w:t>FACT_ReconocimientoRM</w:t>
            </w:r>
            <w:proofErr w:type="spellEnd"/>
            <w:r>
              <w:rPr>
                <w:sz w:val="20"/>
                <w:szCs w:val="20"/>
              </w:rPr>
              <w:t xml:space="preserve"> (salidas), </w:t>
            </w:r>
            <w:proofErr w:type="spellStart"/>
            <w:r>
              <w:rPr>
                <w:sz w:val="20"/>
                <w:szCs w:val="20"/>
              </w:rPr>
              <w:t>FACT_Visita</w:t>
            </w:r>
            <w:proofErr w:type="spellEnd"/>
            <w:r>
              <w:rPr>
                <w:sz w:val="20"/>
                <w:szCs w:val="20"/>
              </w:rPr>
              <w:t xml:space="preserve">, </w:t>
            </w:r>
            <w:proofErr w:type="spellStart"/>
            <w:r>
              <w:rPr>
                <w:sz w:val="20"/>
                <w:szCs w:val="20"/>
              </w:rPr>
              <w:t>FACT_CategorizacionMedica</w:t>
            </w:r>
            <w:proofErr w:type="spellEnd"/>
            <w:r>
              <w:rPr>
                <w:sz w:val="20"/>
                <w:szCs w:val="20"/>
              </w:rPr>
              <w:t xml:space="preserve">, </w:t>
            </w:r>
            <w:proofErr w:type="spellStart"/>
            <w:r>
              <w:rPr>
                <w:sz w:val="20"/>
                <w:szCs w:val="20"/>
              </w:rPr>
              <w:t>FACT_EvaluacionReceptividad</w:t>
            </w:r>
            <w:proofErr w:type="spellEnd"/>
            <w:r>
              <w:rPr>
                <w:sz w:val="20"/>
                <w:szCs w:val="20"/>
              </w:rPr>
              <w:t xml:space="preserve">, tablas derivadas de </w:t>
            </w:r>
            <w:proofErr w:type="spellStart"/>
            <w:r>
              <w:rPr>
                <w:sz w:val="20"/>
                <w:szCs w:val="20"/>
              </w:rPr>
              <w:t>dashboard</w:t>
            </w:r>
            <w:proofErr w:type="spellEnd"/>
            <w:r>
              <w:rPr>
                <w:sz w:val="20"/>
                <w:szCs w:val="20"/>
              </w:rPr>
              <w:t>.</w:t>
            </w:r>
          </w:p>
        </w:tc>
      </w:tr>
      <w:tr w:rsidR="00BF7F94" w:rsidRPr="00DF4566" w14:paraId="16278817" w14:textId="77777777">
        <w:tblPrEx>
          <w:tblCellMar>
            <w:top w:w="0" w:type="dxa"/>
            <w:bottom w:w="0" w:type="dxa"/>
          </w:tblCellMar>
        </w:tblPrEx>
        <w:tc>
          <w:tcPr>
            <w:tcW w:w="16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4E3E6051" w14:textId="77777777" w:rsidR="00BF7F94" w:rsidRDefault="00000000">
            <w:r>
              <w:rPr>
                <w:b/>
                <w:bCs/>
                <w:sz w:val="20"/>
                <w:szCs w:val="20"/>
              </w:rPr>
              <w:t>ETL</w:t>
            </w:r>
          </w:p>
        </w:tc>
        <w:tc>
          <w:tcPr>
            <w:tcW w:w="29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4A01D5D9" w14:textId="77777777" w:rsidR="00BF7F94" w:rsidRDefault="00000000">
            <w:r>
              <w:rPr>
                <w:sz w:val="20"/>
                <w:szCs w:val="20"/>
              </w:rPr>
              <w:t xml:space="preserve">Control de cargas y </w:t>
            </w:r>
            <w:proofErr w:type="spellStart"/>
            <w:r>
              <w:rPr>
                <w:sz w:val="20"/>
                <w:szCs w:val="20"/>
              </w:rPr>
              <w:t>staging</w:t>
            </w:r>
            <w:proofErr w:type="spellEnd"/>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4375B82E" w14:textId="77777777" w:rsidR="00BF7F94" w:rsidRPr="00DF4566" w:rsidRDefault="00000000">
            <w:pPr>
              <w:rPr>
                <w:lang w:val="en-US"/>
              </w:rPr>
            </w:pPr>
            <w:proofErr w:type="spellStart"/>
            <w:r w:rsidRPr="00DF4566">
              <w:rPr>
                <w:sz w:val="20"/>
                <w:szCs w:val="20"/>
                <w:lang w:val="en-US"/>
              </w:rPr>
              <w:t>FACT_CargaExcel</w:t>
            </w:r>
            <w:proofErr w:type="spellEnd"/>
            <w:r w:rsidRPr="00DF4566">
              <w:rPr>
                <w:sz w:val="20"/>
                <w:szCs w:val="20"/>
                <w:lang w:val="en-US"/>
              </w:rPr>
              <w:t xml:space="preserve"> (control de jobs), FACT_KPI_RAW (staging de KPI_RM).</w:t>
            </w:r>
          </w:p>
        </w:tc>
      </w:tr>
      <w:tr w:rsidR="00BF7F94" w14:paraId="75169498" w14:textId="77777777">
        <w:tblPrEx>
          <w:tblCellMar>
            <w:top w:w="0" w:type="dxa"/>
            <w:bottom w:w="0" w:type="dxa"/>
          </w:tblCellMar>
        </w:tblPrEx>
        <w:tc>
          <w:tcPr>
            <w:tcW w:w="16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059CA9DC" w14:textId="77777777" w:rsidR="00BF7F94" w:rsidRDefault="00000000">
            <w:r>
              <w:rPr>
                <w:b/>
                <w:bCs/>
                <w:sz w:val="20"/>
                <w:szCs w:val="20"/>
              </w:rPr>
              <w:t>Audit</w:t>
            </w:r>
          </w:p>
        </w:tc>
        <w:tc>
          <w:tcPr>
            <w:tcW w:w="29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62D05AE" w14:textId="77777777" w:rsidR="00BF7F94" w:rsidRDefault="00000000">
            <w:r>
              <w:rPr>
                <w:sz w:val="20"/>
                <w:szCs w:val="20"/>
              </w:rPr>
              <w:t>Bitácora de acciones</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83FDD38" w14:textId="77777777" w:rsidR="00BF7F94" w:rsidRDefault="00000000">
            <w:proofErr w:type="spellStart"/>
            <w:r>
              <w:rPr>
                <w:sz w:val="20"/>
                <w:szCs w:val="20"/>
              </w:rPr>
              <w:t>FACT_Auditoria</w:t>
            </w:r>
            <w:proofErr w:type="spellEnd"/>
            <w:r>
              <w:rPr>
                <w:sz w:val="20"/>
                <w:szCs w:val="20"/>
              </w:rPr>
              <w:t>.</w:t>
            </w:r>
          </w:p>
        </w:tc>
      </w:tr>
      <w:tr w:rsidR="00BF7F94" w14:paraId="3E3C75E2" w14:textId="77777777">
        <w:tblPrEx>
          <w:tblCellMar>
            <w:top w:w="0" w:type="dxa"/>
            <w:bottom w:w="0" w:type="dxa"/>
          </w:tblCellMar>
        </w:tblPrEx>
        <w:tc>
          <w:tcPr>
            <w:tcW w:w="16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E4F7098" w14:textId="77777777" w:rsidR="00BF7F94" w:rsidRDefault="00000000">
            <w:r>
              <w:rPr>
                <w:b/>
                <w:bCs/>
                <w:sz w:val="20"/>
                <w:szCs w:val="20"/>
              </w:rPr>
              <w:t>Security</w:t>
            </w:r>
          </w:p>
        </w:tc>
        <w:tc>
          <w:tcPr>
            <w:tcW w:w="29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489F6E48" w14:textId="77777777" w:rsidR="00BF7F94" w:rsidRDefault="00000000">
            <w:r>
              <w:rPr>
                <w:sz w:val="20"/>
                <w:szCs w:val="20"/>
              </w:rPr>
              <w:t>Usuarios y autenticación</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27568BC3" w14:textId="77777777" w:rsidR="00BF7F94" w:rsidRDefault="00000000">
            <w:proofErr w:type="spellStart"/>
            <w:r>
              <w:rPr>
                <w:sz w:val="20"/>
                <w:szCs w:val="20"/>
              </w:rPr>
              <w:t>DIM_Usuario</w:t>
            </w:r>
            <w:proofErr w:type="spellEnd"/>
            <w:r>
              <w:rPr>
                <w:sz w:val="20"/>
                <w:szCs w:val="20"/>
              </w:rPr>
              <w:t xml:space="preserve"> (incluye </w:t>
            </w:r>
            <w:proofErr w:type="spellStart"/>
            <w:r>
              <w:rPr>
                <w:sz w:val="20"/>
                <w:szCs w:val="20"/>
              </w:rPr>
              <w:t>pais_id</w:t>
            </w:r>
            <w:proofErr w:type="spellEnd"/>
            <w:r>
              <w:rPr>
                <w:sz w:val="20"/>
                <w:szCs w:val="20"/>
              </w:rPr>
              <w:t xml:space="preserve">, </w:t>
            </w:r>
            <w:proofErr w:type="spellStart"/>
            <w:r>
              <w:rPr>
                <w:sz w:val="20"/>
                <w:szCs w:val="20"/>
              </w:rPr>
              <w:t>rm_id</w:t>
            </w:r>
            <w:proofErr w:type="spellEnd"/>
            <w:r>
              <w:rPr>
                <w:sz w:val="20"/>
                <w:szCs w:val="20"/>
              </w:rPr>
              <w:t xml:space="preserve">, </w:t>
            </w:r>
            <w:proofErr w:type="spellStart"/>
            <w:r>
              <w:rPr>
                <w:sz w:val="20"/>
                <w:szCs w:val="20"/>
              </w:rPr>
              <w:t>gerente_id</w:t>
            </w:r>
            <w:proofErr w:type="spellEnd"/>
            <w:r>
              <w:rPr>
                <w:sz w:val="20"/>
                <w:szCs w:val="20"/>
              </w:rPr>
              <w:t xml:space="preserve"> para </w:t>
            </w:r>
            <w:proofErr w:type="spellStart"/>
            <w:proofErr w:type="gramStart"/>
            <w:r>
              <w:rPr>
                <w:sz w:val="20"/>
                <w:szCs w:val="20"/>
              </w:rPr>
              <w:t>auto-filtro</w:t>
            </w:r>
            <w:proofErr w:type="spellEnd"/>
            <w:proofErr w:type="gramEnd"/>
            <w:r>
              <w:rPr>
                <w:sz w:val="20"/>
                <w:szCs w:val="20"/>
              </w:rPr>
              <w:t xml:space="preserve"> RBAC).</w:t>
            </w:r>
          </w:p>
        </w:tc>
      </w:tr>
    </w:tbl>
    <w:p w14:paraId="308321DD" w14:textId="77777777" w:rsidR="00BF7F94" w:rsidRDefault="00000000">
      <w:pPr>
        <w:spacing w:before="200" w:after="160"/>
      </w:pPr>
      <w:r>
        <w:t xml:space="preserve">Este informe no cuestiona la separación por esquemas ni el rediseño de junio 2026 que trasladó el motor de Score/Ranking a </w:t>
      </w:r>
      <w:proofErr w:type="spellStart"/>
      <w:r>
        <w:t>stored</w:t>
      </w:r>
      <w:proofErr w:type="spellEnd"/>
      <w:r>
        <w:t xml:space="preserve"> </w:t>
      </w:r>
      <w:proofErr w:type="spellStart"/>
      <w:r>
        <w:t>procedures</w:t>
      </w:r>
      <w:proofErr w:type="spellEnd"/>
      <w:r>
        <w:t xml:space="preserve"> — ambas son decisiones arquitectónicas razonables y ya documentadas en CLAUDE.md §1/§8. El foco de este análisis es la estructura interna de las tablas (claves, </w:t>
      </w:r>
      <w:proofErr w:type="spellStart"/>
      <w:r>
        <w:t>constraints</w:t>
      </w:r>
      <w:proofErr w:type="spellEnd"/>
      <w:r>
        <w:t>, semántica de columnas) y la lógica de poblamiento (importación Excel, ETL), que es donde se concentran los 16 hallazgos.</w:t>
      </w:r>
    </w:p>
    <w:p w14:paraId="31B6EF0E" w14:textId="77777777" w:rsidR="00BF7F94" w:rsidRDefault="00000000">
      <w:pPr>
        <w:pStyle w:val="Ttulo1"/>
        <w:pageBreakBefore/>
      </w:pPr>
      <w:r>
        <w:lastRenderedPageBreak/>
        <w:t>4. Catálogo de Hallazgos</w:t>
      </w:r>
    </w:p>
    <w:p w14:paraId="51FDC8C5" w14:textId="77777777" w:rsidR="00BF7F94" w:rsidRDefault="00000000">
      <w:pPr>
        <w:spacing w:after="160"/>
      </w:pPr>
      <w:r>
        <w:t>Los hallazgos se presentan agrupados por severidad. Cada uno incluye la evidencia de código que lo respalda, el riesgo/impacto concreto, y una recomendación de corrección compatible con las convenciones del proyecto.</w:t>
      </w:r>
    </w:p>
    <w:p w14:paraId="100C21DC" w14:textId="77777777" w:rsidR="00BF7F94" w:rsidRDefault="00000000">
      <w:pPr>
        <w:pStyle w:val="Ttulo2"/>
      </w:pPr>
      <w:r>
        <w:t>4.1 Severidad Crítica</w:t>
      </w:r>
    </w:p>
    <w:p w14:paraId="3C7BA4CD" w14:textId="77777777" w:rsidR="00BF7F94" w:rsidRDefault="00000000">
      <w:pPr>
        <w:pStyle w:val="Ttulo3"/>
      </w:pPr>
      <w:r>
        <w:rPr>
          <w:color w:val="B03A2E"/>
        </w:rPr>
        <w:t xml:space="preserve">Hallazgo F1 — </w:t>
      </w:r>
      <w:proofErr w:type="spellStart"/>
      <w:r>
        <w:rPr>
          <w:color w:val="B03A2E"/>
        </w:rPr>
        <w:t>DIM_Indicador.modulo</w:t>
      </w:r>
      <w:proofErr w:type="spellEnd"/>
      <w:r>
        <w:rPr>
          <w:color w:val="B03A2E"/>
        </w:rPr>
        <w:t>: el valor por defecto “GESTION” no es reconocido por el motor de Score</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13253836" w14:textId="77777777">
        <w:tblPrEx>
          <w:tblCellMar>
            <w:top w:w="0" w:type="dxa"/>
            <w:bottom w:w="0" w:type="dxa"/>
          </w:tblCellMar>
        </w:tblPrEx>
        <w:tc>
          <w:tcPr>
            <w:tcW w:w="2200" w:type="dxa"/>
            <w:shd w:val="clear" w:color="auto" w:fill="FBEAE8"/>
            <w:tcMar>
              <w:top w:w="60" w:type="dxa"/>
              <w:left w:w="140" w:type="dxa"/>
              <w:bottom w:w="60" w:type="dxa"/>
              <w:right w:w="140" w:type="dxa"/>
            </w:tcMar>
          </w:tcPr>
          <w:p w14:paraId="6E6E28EF" w14:textId="77777777" w:rsidR="00BF7F94" w:rsidRDefault="00000000">
            <w:pPr>
              <w:jc w:val="center"/>
            </w:pPr>
            <w:r>
              <w:rPr>
                <w:b/>
                <w:bCs/>
                <w:color w:val="B03A2E"/>
                <w:sz w:val="18"/>
                <w:szCs w:val="18"/>
              </w:rPr>
              <w:t>CRÍTICA</w:t>
            </w:r>
          </w:p>
        </w:tc>
      </w:tr>
    </w:tbl>
    <w:p w14:paraId="15EA2BF0" w14:textId="77777777" w:rsidR="00BF7F94" w:rsidRDefault="00000000">
      <w:pPr>
        <w:spacing w:after="140"/>
      </w:pPr>
      <w:r>
        <w:rPr>
          <w:b/>
          <w:bCs/>
          <w:color w:val="1E2761"/>
        </w:rPr>
        <w:t xml:space="preserve">Evidencia: </w:t>
      </w:r>
      <w:r>
        <w:t>app/api/v1/</w:t>
      </w:r>
      <w:proofErr w:type="spellStart"/>
      <w:r>
        <w:t>routers</w:t>
      </w:r>
      <w:proofErr w:type="spellEnd"/>
      <w:r>
        <w:t>/dims.py, bloque de importación DIM_INDICADOR (·línea ≈697): modulo = _s(</w:t>
      </w:r>
      <w:proofErr w:type="spellStart"/>
      <w:r>
        <w:t>row.get</w:t>
      </w:r>
      <w:proofErr w:type="spellEnd"/>
      <w:r>
        <w:t xml:space="preserve">("MODULO") </w:t>
      </w:r>
      <w:proofErr w:type="spellStart"/>
      <w:r>
        <w:t>or</w:t>
      </w:r>
      <w:proofErr w:type="spellEnd"/>
      <w:r>
        <w:t xml:space="preserve"> </w:t>
      </w:r>
      <w:proofErr w:type="spellStart"/>
      <w:r>
        <w:t>row.get</w:t>
      </w:r>
      <w:proofErr w:type="spellEnd"/>
      <w:r>
        <w:t xml:space="preserve">("BLOQUE_MODELO")) </w:t>
      </w:r>
      <w:proofErr w:type="spellStart"/>
      <w:r>
        <w:t>or</w:t>
      </w:r>
      <w:proofErr w:type="spellEnd"/>
      <w:r>
        <w:t xml:space="preserve"> "GESTION". app/services/iup_service.py agrupa y filtra los indicadores de Productividad/Coaching/Capacitación por los valores PRODUCTIVIDAD | COACHING | CAPACITACION (el componente COMERCIAL se deriva de </w:t>
      </w:r>
      <w:proofErr w:type="spellStart"/>
      <w:r>
        <w:t>FACT_Ventas</w:t>
      </w:r>
      <w:proofErr w:type="spellEnd"/>
      <w:r>
        <w:t xml:space="preserve">/FACT_EVOIR, no de </w:t>
      </w:r>
      <w:proofErr w:type="spellStart"/>
      <w:r>
        <w:t>Indicador.modulo</w:t>
      </w:r>
      <w:proofErr w:type="spellEnd"/>
      <w:r>
        <w:t>). “GESTION” no pertenece a ese conjunto.</w:t>
      </w:r>
    </w:p>
    <w:p w14:paraId="53A45221" w14:textId="77777777" w:rsidR="00BF7F94" w:rsidRDefault="00000000">
      <w:pPr>
        <w:spacing w:after="140"/>
      </w:pPr>
      <w:r>
        <w:rPr>
          <w:b/>
          <w:bCs/>
          <w:color w:val="B03A2E"/>
        </w:rPr>
        <w:t xml:space="preserve">Riesgo / impacto: </w:t>
      </w:r>
      <w:r>
        <w:t xml:space="preserve">Cualquier indicador importado sin una columna MODULO/BLOQUE_MODELO explícita en el Excel de origen queda etiquetado “GESTION”. El indicador se guarda correctamente, aparece en los catálogos de administración, recibe resultados en </w:t>
      </w:r>
      <w:proofErr w:type="spellStart"/>
      <w:r>
        <w:t>FACT_ResultadoIndicador</w:t>
      </w:r>
      <w:proofErr w:type="spellEnd"/>
      <w:r>
        <w:t xml:space="preserve"> — pero el motor de Score nunca lo agrupa en ningún módulo, por lo que su peso jamás se aplica al Score Integral del RM. No se genera error, advertencia ni log: es una exclusión silenciosa y permanente.</w:t>
      </w:r>
    </w:p>
    <w:p w14:paraId="61EFA1D0" w14:textId="77777777" w:rsidR="00BF7F94" w:rsidRDefault="00000000">
      <w:pPr>
        <w:spacing w:after="140"/>
      </w:pPr>
      <w:r>
        <w:rPr>
          <w:b/>
          <w:bCs/>
          <w:color w:val="1E7145"/>
        </w:rPr>
        <w:t xml:space="preserve">Recomendación: </w:t>
      </w:r>
      <w:r>
        <w:t xml:space="preserve">Eliminar el </w:t>
      </w:r>
      <w:proofErr w:type="spellStart"/>
      <w:r>
        <w:t>fallback</w:t>
      </w:r>
      <w:proofErr w:type="spellEnd"/>
      <w:r>
        <w:t xml:space="preserve"> genérico. Si el Excel no trae MODULO/BLOQUE_MODELO, la fila debe rechazarse con error de validación explícito (igual tratamiento que una fila con datos faltantes obligatorios), no asumir un valor. Adicionalmente, restringir </w:t>
      </w:r>
      <w:proofErr w:type="spellStart"/>
      <w:r>
        <w:t>DIM_Indicador.modulo</w:t>
      </w:r>
      <w:proofErr w:type="spellEnd"/>
      <w:r>
        <w:t xml:space="preserve"> a los 4 valores reales (PRODUCTIVIDAD | COACHING | CAPACITACION | COMERCIAL) mediante un CHECK </w:t>
      </w:r>
      <w:proofErr w:type="spellStart"/>
      <w:r>
        <w:t>constraint</w:t>
      </w:r>
      <w:proofErr w:type="spellEnd"/>
      <w:r>
        <w:t xml:space="preserve"> o un </w:t>
      </w:r>
      <w:proofErr w:type="spellStart"/>
      <w:r>
        <w:t>Enum</w:t>
      </w:r>
      <w:proofErr w:type="spellEnd"/>
      <w:r>
        <w:t xml:space="preserve"> a nivel de base de datos, vía migración </w:t>
      </w:r>
      <w:proofErr w:type="spellStart"/>
      <w:r>
        <w:t>Alembic</w:t>
      </w:r>
      <w:proofErr w:type="spellEnd"/>
      <w:r>
        <w:t>.</w:t>
      </w:r>
    </w:p>
    <w:p w14:paraId="411FA2FF" w14:textId="77777777" w:rsidR="00BF7F94" w:rsidRDefault="00000000">
      <w:pPr>
        <w:pStyle w:val="Ttulo3"/>
      </w:pPr>
      <w:r>
        <w:rPr>
          <w:color w:val="B03A2E"/>
        </w:rPr>
        <w:t xml:space="preserve">Hallazgo F2 — IDENTITY_INSERT fuerza </w:t>
      </w:r>
      <w:proofErr w:type="spellStart"/>
      <w:r>
        <w:rPr>
          <w:color w:val="B03A2E"/>
        </w:rPr>
        <w:t>IDs</w:t>
      </w:r>
      <w:proofErr w:type="spellEnd"/>
      <w:r>
        <w:rPr>
          <w:color w:val="B03A2E"/>
        </w:rPr>
        <w:t xml:space="preserve"> del Excel como clave primaria real — colisión documentada y no resuelta en escenarios </w:t>
      </w:r>
      <w:proofErr w:type="spellStart"/>
      <w:r>
        <w:rPr>
          <w:color w:val="B03A2E"/>
        </w:rPr>
        <w:t>multipaís</w:t>
      </w:r>
      <w:proofErr w:type="spellEnd"/>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6A56E92E" w14:textId="77777777">
        <w:tblPrEx>
          <w:tblCellMar>
            <w:top w:w="0" w:type="dxa"/>
            <w:bottom w:w="0" w:type="dxa"/>
          </w:tblCellMar>
        </w:tblPrEx>
        <w:tc>
          <w:tcPr>
            <w:tcW w:w="2200" w:type="dxa"/>
            <w:shd w:val="clear" w:color="auto" w:fill="FBEAE8"/>
            <w:tcMar>
              <w:top w:w="60" w:type="dxa"/>
              <w:left w:w="140" w:type="dxa"/>
              <w:bottom w:w="60" w:type="dxa"/>
              <w:right w:w="140" w:type="dxa"/>
            </w:tcMar>
          </w:tcPr>
          <w:p w14:paraId="75BCE2D5" w14:textId="77777777" w:rsidR="00BF7F94" w:rsidRDefault="00000000">
            <w:pPr>
              <w:jc w:val="center"/>
            </w:pPr>
            <w:r>
              <w:rPr>
                <w:b/>
                <w:bCs/>
                <w:color w:val="B03A2E"/>
                <w:sz w:val="18"/>
                <w:szCs w:val="18"/>
              </w:rPr>
              <w:t>CRÍTICA</w:t>
            </w:r>
          </w:p>
        </w:tc>
      </w:tr>
    </w:tbl>
    <w:p w14:paraId="233C87D1" w14:textId="77777777" w:rsidR="00BF7F94" w:rsidRDefault="00000000">
      <w:pPr>
        <w:spacing w:after="140"/>
      </w:pPr>
      <w:proofErr w:type="spellStart"/>
      <w:r w:rsidRPr="00DF4566">
        <w:rPr>
          <w:b/>
          <w:bCs/>
          <w:color w:val="1E2761"/>
          <w:lang w:val="en-US"/>
        </w:rPr>
        <w:t>Evidencia</w:t>
      </w:r>
      <w:proofErr w:type="spellEnd"/>
      <w:r w:rsidRPr="00DF4566">
        <w:rPr>
          <w:b/>
          <w:bCs/>
          <w:color w:val="1E2761"/>
          <w:lang w:val="en-US"/>
        </w:rPr>
        <w:t xml:space="preserve">: </w:t>
      </w:r>
      <w:r w:rsidRPr="00DF4566">
        <w:rPr>
          <w:lang w:val="en-US"/>
        </w:rPr>
        <w:t xml:space="preserve">app/api/v1/routers/dims.py </w:t>
      </w:r>
      <w:proofErr w:type="spellStart"/>
      <w:r w:rsidRPr="00DF4566">
        <w:rPr>
          <w:lang w:val="en-US"/>
        </w:rPr>
        <w:t>fuerza</w:t>
      </w:r>
      <w:proofErr w:type="spellEnd"/>
      <w:r w:rsidRPr="00DF4566">
        <w:rPr>
          <w:lang w:val="en-US"/>
        </w:rPr>
        <w:t xml:space="preserve"> SET IDENTITY_INSERT ... </w:t>
      </w:r>
      <w:r>
        <w:t xml:space="preserve">ON para escribir LINEA_ID, GERENTE_ID, RM_CODIGO (cuando es numérico) e INDICADOR_ID del Excel directamente como clave primaria de </w:t>
      </w:r>
      <w:proofErr w:type="spellStart"/>
      <w:r>
        <w:t>DIM_Linea</w:t>
      </w:r>
      <w:proofErr w:type="spellEnd"/>
      <w:r>
        <w:t xml:space="preserve">, </w:t>
      </w:r>
      <w:proofErr w:type="spellStart"/>
      <w:r>
        <w:t>DIM_Gerente</w:t>
      </w:r>
      <w:proofErr w:type="spellEnd"/>
      <w:r>
        <w:t xml:space="preserve">, DIM_RM y </w:t>
      </w:r>
      <w:proofErr w:type="spellStart"/>
      <w:r>
        <w:t>DIM_Indicador</w:t>
      </w:r>
      <w:proofErr w:type="spellEnd"/>
      <w:r>
        <w:t xml:space="preserve">. El propio comentario en el código (líneas ≈682-684) documenta el problema: “Para </w:t>
      </w:r>
      <w:proofErr w:type="spellStart"/>
      <w:r>
        <w:t>multi-país</w:t>
      </w:r>
      <w:proofErr w:type="spellEnd"/>
      <w:r>
        <w:t xml:space="preserve">: el mismo INDICADOR_ID solo se puede usar una vez (primer país); los países subsiguientes con el mismo id obtendrán un id </w:t>
      </w:r>
      <w:proofErr w:type="spellStart"/>
      <w:proofErr w:type="gramStart"/>
      <w:r>
        <w:t>auto-generado</w:t>
      </w:r>
      <w:proofErr w:type="spellEnd"/>
      <w:proofErr w:type="gramEnd"/>
      <w:r>
        <w:t>”.</w:t>
      </w:r>
    </w:p>
    <w:p w14:paraId="64332B4D" w14:textId="77777777" w:rsidR="00BF7F94" w:rsidRDefault="00000000">
      <w:pPr>
        <w:spacing w:after="140"/>
      </w:pPr>
      <w:r>
        <w:rPr>
          <w:b/>
          <w:bCs/>
          <w:color w:val="B03A2E"/>
        </w:rPr>
        <w:t xml:space="preserve">Riesgo / impacto: </w:t>
      </w:r>
      <w:r>
        <w:t xml:space="preserve">El sistema está documentado como </w:t>
      </w:r>
      <w:proofErr w:type="spellStart"/>
      <w:r>
        <w:t>multipaís</w:t>
      </w:r>
      <w:proofErr w:type="spellEnd"/>
      <w:r>
        <w:t xml:space="preserve"> (CLAUDE.md §1), pero el mecanismo de importación </w:t>
      </w:r>
      <w:proofErr w:type="spellStart"/>
      <w:r>
        <w:t>conflacionó</w:t>
      </w:r>
      <w:proofErr w:type="spellEnd"/>
      <w:r>
        <w:t xml:space="preserve"> la clave técnica (PK interna) con la clave de negocio (ID del Excel de origen del cliente). En la práctica, el segundo país que reutilice un ID ya tomado recibe silenciosamente un ID distinto al declarado en su propio Excel — rompiendo cualquier trazabilidad o reconciliación futura contra el sistema de origen del cliente, y generando inconsistencia entre “el ID que el negocio cree que tiene un registro” y el que realmente quedó en la base de datos.</w:t>
      </w:r>
    </w:p>
    <w:p w14:paraId="1A1102AA" w14:textId="77777777" w:rsidR="00BF7F94" w:rsidRDefault="00000000">
      <w:pPr>
        <w:spacing w:after="140"/>
      </w:pPr>
      <w:r>
        <w:rPr>
          <w:b/>
          <w:bCs/>
          <w:color w:val="1E7145"/>
        </w:rPr>
        <w:t xml:space="preserve">Recomendación: </w:t>
      </w:r>
      <w:r>
        <w:t>Migrar a un esquema de clave técnica autogenerada + clave de negocio compuesta (</w:t>
      </w:r>
      <w:proofErr w:type="spellStart"/>
      <w:r>
        <w:t>pais_id</w:t>
      </w:r>
      <w:proofErr w:type="spellEnd"/>
      <w:r>
        <w:t xml:space="preserve">, </w:t>
      </w:r>
      <w:proofErr w:type="spellStart"/>
      <w:r>
        <w:t>codigo_excel</w:t>
      </w:r>
      <w:proofErr w:type="spellEnd"/>
      <w:r>
        <w:t>) única — el mismo patrón que el modelo Indicador ya implementa correctamente (</w:t>
      </w:r>
      <w:proofErr w:type="spellStart"/>
      <w:proofErr w:type="gramStart"/>
      <w:r>
        <w:t>UniqueConstraint</w:t>
      </w:r>
      <w:proofErr w:type="spellEnd"/>
      <w:r>
        <w:t>(</w:t>
      </w:r>
      <w:proofErr w:type="spellStart"/>
      <w:proofErr w:type="gramEnd"/>
      <w:r>
        <w:t>pais_id</w:t>
      </w:r>
      <w:proofErr w:type="spellEnd"/>
      <w:r>
        <w:t xml:space="preserve">, </w:t>
      </w:r>
      <w:proofErr w:type="spellStart"/>
      <w:r>
        <w:t>codigo</w:t>
      </w:r>
      <w:proofErr w:type="spellEnd"/>
      <w:r>
        <w:t>)). Retirar el uso de IDENTITY_INSERT en la importación. Es un cambio de mayor envergadura: requiere migración de datos existentes y actualización de todas las FK que hoy asumen el ID del Excel; planificarlo con ventana de mantenimiento y como parte de la Fase 1 del plan de remediación.</w:t>
      </w:r>
    </w:p>
    <w:p w14:paraId="199FF77F" w14:textId="77777777" w:rsidR="00BF7F94" w:rsidRDefault="00000000">
      <w:pPr>
        <w:pStyle w:val="Ttulo3"/>
      </w:pPr>
      <w:r>
        <w:rPr>
          <w:color w:val="B03A2E"/>
        </w:rPr>
        <w:lastRenderedPageBreak/>
        <w:t>Hallazgo F3 — Dos esquemas de identificación de médico, completamente desconectados entre módulos</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2D8C2942" w14:textId="77777777">
        <w:tblPrEx>
          <w:tblCellMar>
            <w:top w:w="0" w:type="dxa"/>
            <w:bottom w:w="0" w:type="dxa"/>
          </w:tblCellMar>
        </w:tblPrEx>
        <w:tc>
          <w:tcPr>
            <w:tcW w:w="2200" w:type="dxa"/>
            <w:shd w:val="clear" w:color="auto" w:fill="FBEAE8"/>
            <w:tcMar>
              <w:top w:w="60" w:type="dxa"/>
              <w:left w:w="140" w:type="dxa"/>
              <w:bottom w:w="60" w:type="dxa"/>
              <w:right w:w="140" w:type="dxa"/>
            </w:tcMar>
          </w:tcPr>
          <w:p w14:paraId="28E67E68" w14:textId="77777777" w:rsidR="00BF7F94" w:rsidRDefault="00000000">
            <w:pPr>
              <w:jc w:val="center"/>
            </w:pPr>
            <w:r>
              <w:rPr>
                <w:b/>
                <w:bCs/>
                <w:color w:val="B03A2E"/>
                <w:sz w:val="18"/>
                <w:szCs w:val="18"/>
              </w:rPr>
              <w:t>CRÍTICA</w:t>
            </w:r>
          </w:p>
        </w:tc>
      </w:tr>
    </w:tbl>
    <w:p w14:paraId="75179BC5" w14:textId="77777777" w:rsidR="00BF7F94" w:rsidRDefault="00000000">
      <w:pPr>
        <w:spacing w:after="140"/>
      </w:pPr>
      <w:r>
        <w:rPr>
          <w:b/>
          <w:bCs/>
          <w:color w:val="1E2761"/>
        </w:rPr>
        <w:t xml:space="preserve">Evidencia: </w:t>
      </w:r>
      <w:r>
        <w:t xml:space="preserve">Categorización Médica resuelve médicos contra </w:t>
      </w:r>
      <w:proofErr w:type="spellStart"/>
      <w:r>
        <w:t>Config.DIM_Medico</w:t>
      </w:r>
      <w:proofErr w:type="spellEnd"/>
      <w:r>
        <w:t xml:space="preserve">, </w:t>
      </w:r>
      <w:proofErr w:type="spellStart"/>
      <w:r>
        <w:t>deduplicado</w:t>
      </w:r>
      <w:proofErr w:type="spellEnd"/>
      <w:r>
        <w:t xml:space="preserve"> por (</w:t>
      </w:r>
      <w:proofErr w:type="spellStart"/>
      <w:r>
        <w:t>pais_id</w:t>
      </w:r>
      <w:proofErr w:type="spellEnd"/>
      <w:r>
        <w:t xml:space="preserve">, nombre) mediante igualdad exacta de </w:t>
      </w:r>
      <w:proofErr w:type="spellStart"/>
      <w:r>
        <w:t>string</w:t>
      </w:r>
      <w:proofErr w:type="spellEnd"/>
      <w:r>
        <w:t xml:space="preserve"> (</w:t>
      </w:r>
      <w:proofErr w:type="spellStart"/>
      <w:r>
        <w:t>categorizacion_</w:t>
      </w:r>
      <w:proofErr w:type="gramStart"/>
      <w:r>
        <w:t>service.resolver</w:t>
      </w:r>
      <w:proofErr w:type="gramEnd"/>
      <w:r>
        <w:t>_</w:t>
      </w:r>
      <w:proofErr w:type="gramStart"/>
      <w:r>
        <w:t>medico</w:t>
      </w:r>
      <w:proofErr w:type="spellEnd"/>
      <w:r>
        <w:t>(</w:t>
      </w:r>
      <w:proofErr w:type="gramEnd"/>
      <w:r>
        <w:t xml:space="preserve">)). Cobertura Predictiva calcula la fórmula L = </w:t>
      </w:r>
      <w:proofErr w:type="gramStart"/>
      <w:r>
        <w:t>COUNT(</w:t>
      </w:r>
      <w:proofErr w:type="gramEnd"/>
      <w:r>
        <w:t xml:space="preserve">DISTINCT </w:t>
      </w:r>
      <w:proofErr w:type="spellStart"/>
      <w:r>
        <w:t>medico_codigo</w:t>
      </w:r>
      <w:proofErr w:type="spellEnd"/>
      <w:r>
        <w:t xml:space="preserve">) directamente sobre </w:t>
      </w:r>
      <w:proofErr w:type="spellStart"/>
      <w:proofErr w:type="gramStart"/>
      <w:r>
        <w:t>DW.FACT</w:t>
      </w:r>
      <w:proofErr w:type="gramEnd"/>
      <w:r>
        <w:t>_Visita.medico_codigo</w:t>
      </w:r>
      <w:proofErr w:type="spellEnd"/>
      <w:r>
        <w:t xml:space="preserve">, una columna de texto libre sin Foreign Key hacia </w:t>
      </w:r>
      <w:proofErr w:type="spellStart"/>
      <w:r>
        <w:t>DIM_Medico</w:t>
      </w:r>
      <w:proofErr w:type="spellEnd"/>
      <w:r>
        <w:t xml:space="preserve"> (</w:t>
      </w:r>
      <w:proofErr w:type="spellStart"/>
      <w:r>
        <w:t>cobertura_predictiva_</w:t>
      </w:r>
      <w:proofErr w:type="gramStart"/>
      <w:r>
        <w:t>service.calcular</w:t>
      </w:r>
      <w:proofErr w:type="gramEnd"/>
      <w:r>
        <w:t>_cobertura_</w:t>
      </w:r>
      <w:proofErr w:type="gramStart"/>
      <w:r>
        <w:t>rm</w:t>
      </w:r>
      <w:proofErr w:type="spellEnd"/>
      <w:r>
        <w:t>(</w:t>
      </w:r>
      <w:proofErr w:type="gramEnd"/>
      <w:r>
        <w:t>)).</w:t>
      </w:r>
    </w:p>
    <w:p w14:paraId="25BFC9C2" w14:textId="77777777" w:rsidR="00BF7F94" w:rsidRDefault="00000000">
      <w:pPr>
        <w:spacing w:after="140"/>
      </w:pPr>
      <w:r>
        <w:rPr>
          <w:b/>
          <w:bCs/>
          <w:color w:val="B03A2E"/>
        </w:rPr>
        <w:t xml:space="preserve">Riesgo / impacto: </w:t>
      </w:r>
      <w:r>
        <w:t xml:space="preserve">El mismo médico físico puede existir como dos entidades no relacionadas en el sistema: una fila en </w:t>
      </w:r>
      <w:proofErr w:type="spellStart"/>
      <w:r>
        <w:t>DIM_Medico</w:t>
      </w:r>
      <w:proofErr w:type="spellEnd"/>
      <w:r>
        <w:t xml:space="preserve"> con su categoría A/B/C/D, y un código de texto libre en </w:t>
      </w:r>
      <w:proofErr w:type="spellStart"/>
      <w:r>
        <w:t>FACT_Visita</w:t>
      </w:r>
      <w:proofErr w:type="spellEnd"/>
      <w:r>
        <w:t xml:space="preserve"> con su historial de visitas, sin ningún punto de unión. Esto bloquea exactamente el tipo de análisis cruzado que la metodología 4DX necesita para ser más valiosa (priorizar visitas a médicos de categoría A). Es, de los 16 hallazgos, el más costoso de revertir con el tiempo: cada ciclo adicional cargado sin un maestro único de médico aumenta el volumen de datos históricos que habrá que reconciliar retroactivamente.</w:t>
      </w:r>
    </w:p>
    <w:p w14:paraId="49ABCE40" w14:textId="77777777" w:rsidR="00BF7F94" w:rsidRDefault="00000000">
      <w:pPr>
        <w:spacing w:after="140"/>
      </w:pPr>
      <w:r>
        <w:rPr>
          <w:b/>
          <w:bCs/>
          <w:color w:val="1E7145"/>
        </w:rPr>
        <w:t xml:space="preserve">Recomendación: </w:t>
      </w:r>
      <w:r>
        <w:t xml:space="preserve">Establecer </w:t>
      </w:r>
      <w:proofErr w:type="spellStart"/>
      <w:r>
        <w:t>Config.DIM_Medico</w:t>
      </w:r>
      <w:proofErr w:type="spellEnd"/>
      <w:r>
        <w:t xml:space="preserve"> como maestro único de médicos del sistema. Agregar una columna </w:t>
      </w:r>
      <w:proofErr w:type="spellStart"/>
      <w:r>
        <w:t>medico_id</w:t>
      </w:r>
      <w:proofErr w:type="spellEnd"/>
      <w:r>
        <w:t xml:space="preserve"> (FK </w:t>
      </w:r>
      <w:proofErr w:type="spellStart"/>
      <w:r>
        <w:t>nullable</w:t>
      </w:r>
      <w:proofErr w:type="spellEnd"/>
      <w:r>
        <w:t xml:space="preserve">, para no romper cargas en curso) a </w:t>
      </w:r>
      <w:proofErr w:type="spellStart"/>
      <w:r>
        <w:t>FACT_Visita</w:t>
      </w:r>
      <w:proofErr w:type="spellEnd"/>
      <w:r>
        <w:t xml:space="preserve"> y, opcionalmente, a </w:t>
      </w:r>
      <w:proofErr w:type="spellStart"/>
      <w:r>
        <w:t>DIM_TargetMedico</w:t>
      </w:r>
      <w:proofErr w:type="spellEnd"/>
      <w:r>
        <w:t xml:space="preserve">, vía migración </w:t>
      </w:r>
      <w:proofErr w:type="spellStart"/>
      <w:r>
        <w:t>Alembic</w:t>
      </w:r>
      <w:proofErr w:type="spellEnd"/>
      <w:r>
        <w:t xml:space="preserve">. Construir un proceso de </w:t>
      </w:r>
      <w:proofErr w:type="spellStart"/>
      <w:r>
        <w:t>backfill</w:t>
      </w:r>
      <w:proofErr w:type="spellEnd"/>
      <w:r>
        <w:t xml:space="preserve"> que reutilice/extienda </w:t>
      </w:r>
      <w:proofErr w:type="spellStart"/>
      <w:r>
        <w:t>resolver_</w:t>
      </w:r>
      <w:proofErr w:type="gramStart"/>
      <w:r>
        <w:t>medico</w:t>
      </w:r>
      <w:proofErr w:type="spellEnd"/>
      <w:r>
        <w:t>(</w:t>
      </w:r>
      <w:proofErr w:type="gramEnd"/>
      <w:r>
        <w:t xml:space="preserve">) para resolver </w:t>
      </w:r>
      <w:proofErr w:type="spellStart"/>
      <w:r>
        <w:t>medico_codigo</w:t>
      </w:r>
      <w:proofErr w:type="spellEnd"/>
      <w:r>
        <w:t xml:space="preserve"> → </w:t>
      </w:r>
      <w:proofErr w:type="spellStart"/>
      <w:r>
        <w:t>medico_id</w:t>
      </w:r>
      <w:proofErr w:type="spellEnd"/>
      <w:r>
        <w:t xml:space="preserve"> sobre el historial existente. Cobertura Predictiva puede seguir leyendo </w:t>
      </w:r>
      <w:proofErr w:type="spellStart"/>
      <w:r>
        <w:t>medico_codigo</w:t>
      </w:r>
      <w:proofErr w:type="spellEnd"/>
      <w:r>
        <w:t xml:space="preserve"> mientras se completa el </w:t>
      </w:r>
      <w:proofErr w:type="spellStart"/>
      <w:r>
        <w:t>backfill</w:t>
      </w:r>
      <w:proofErr w:type="spellEnd"/>
      <w:r>
        <w:t xml:space="preserve">, pero todo cálculo nuevo debería preferir </w:t>
      </w:r>
      <w:proofErr w:type="spellStart"/>
      <w:r>
        <w:t>medico_id</w:t>
      </w:r>
      <w:proofErr w:type="spellEnd"/>
      <w:r>
        <w:t xml:space="preserve"> en cuanto esté disponible.</w:t>
      </w:r>
    </w:p>
    <w:p w14:paraId="5F143E9F" w14:textId="77777777" w:rsidR="00BF7F94" w:rsidRDefault="00000000">
      <w:pPr>
        <w:pStyle w:val="Ttulo3"/>
      </w:pPr>
      <w:r>
        <w:rPr>
          <w:color w:val="B03A2E"/>
        </w:rPr>
        <w:t xml:space="preserve">Hallazgo F4 — </w:t>
      </w:r>
      <w:proofErr w:type="spellStart"/>
      <w:r>
        <w:rPr>
          <w:color w:val="B03A2E"/>
        </w:rPr>
        <w:t>gerente_id</w:t>
      </w:r>
      <w:proofErr w:type="spellEnd"/>
      <w:r>
        <w:rPr>
          <w:color w:val="B03A2E"/>
        </w:rPr>
        <w:t xml:space="preserve"> sin Foreign Key en 4 tablas — incluida la columna que define el alcance de seguridad (RBAC)</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45509B4A" w14:textId="77777777">
        <w:tblPrEx>
          <w:tblCellMar>
            <w:top w:w="0" w:type="dxa"/>
            <w:bottom w:w="0" w:type="dxa"/>
          </w:tblCellMar>
        </w:tblPrEx>
        <w:tc>
          <w:tcPr>
            <w:tcW w:w="2200" w:type="dxa"/>
            <w:shd w:val="clear" w:color="auto" w:fill="FBEAE8"/>
            <w:tcMar>
              <w:top w:w="60" w:type="dxa"/>
              <w:left w:w="140" w:type="dxa"/>
              <w:bottom w:w="60" w:type="dxa"/>
              <w:right w:w="140" w:type="dxa"/>
            </w:tcMar>
          </w:tcPr>
          <w:p w14:paraId="26B33DA5" w14:textId="77777777" w:rsidR="00BF7F94" w:rsidRDefault="00000000">
            <w:pPr>
              <w:jc w:val="center"/>
            </w:pPr>
            <w:r>
              <w:rPr>
                <w:b/>
                <w:bCs/>
                <w:color w:val="B03A2E"/>
                <w:sz w:val="18"/>
                <w:szCs w:val="18"/>
              </w:rPr>
              <w:t>CRÍTICA</w:t>
            </w:r>
          </w:p>
        </w:tc>
      </w:tr>
    </w:tbl>
    <w:p w14:paraId="40623023" w14:textId="77777777" w:rsidR="00BF7F94" w:rsidRDefault="00000000">
      <w:pPr>
        <w:spacing w:after="140"/>
      </w:pPr>
      <w:r>
        <w:rPr>
          <w:b/>
          <w:bCs/>
          <w:color w:val="1E2761"/>
        </w:rPr>
        <w:t xml:space="preserve">Evidencia: </w:t>
      </w:r>
      <w:proofErr w:type="spellStart"/>
      <w:r>
        <w:t>Security.DIM_Usuario.gerente_id</w:t>
      </w:r>
      <w:proofErr w:type="spellEnd"/>
      <w:r>
        <w:t xml:space="preserve"> y </w:t>
      </w:r>
      <w:proofErr w:type="spellStart"/>
      <w:r>
        <w:t>Security.DIM_Usuario.rm_id</w:t>
      </w:r>
      <w:proofErr w:type="spellEnd"/>
      <w:r>
        <w:t xml:space="preserve"> (usuario.py, líneas 31-32) son </w:t>
      </w:r>
      <w:proofErr w:type="spellStart"/>
      <w:r>
        <w:t>Integer</w:t>
      </w:r>
      <w:proofErr w:type="spellEnd"/>
      <w:r>
        <w:t xml:space="preserve"> sin </w:t>
      </w:r>
      <w:proofErr w:type="spellStart"/>
      <w:r>
        <w:t>ForeignKey</w:t>
      </w:r>
      <w:proofErr w:type="spellEnd"/>
      <w:r>
        <w:t xml:space="preserve">, a diferencia de </w:t>
      </w:r>
      <w:proofErr w:type="spellStart"/>
      <w:r>
        <w:t>pais_id</w:t>
      </w:r>
      <w:proofErr w:type="spellEnd"/>
      <w:r>
        <w:t xml:space="preserve"> en la misma tabla (línea 30) que sí la tiene. El mismo patrón se repite en </w:t>
      </w:r>
      <w:proofErr w:type="spellStart"/>
      <w:proofErr w:type="gramStart"/>
      <w:r>
        <w:t>DW.FACT</w:t>
      </w:r>
      <w:proofErr w:type="gramEnd"/>
      <w:r>
        <w:t>_ScoreIntegralRM.gerente_id</w:t>
      </w:r>
      <w:proofErr w:type="spellEnd"/>
      <w:r>
        <w:t xml:space="preserve">, </w:t>
      </w:r>
      <w:proofErr w:type="spellStart"/>
      <w:proofErr w:type="gramStart"/>
      <w:r>
        <w:t>DW.FACT</w:t>
      </w:r>
      <w:proofErr w:type="gramEnd"/>
      <w:r>
        <w:t>_RankingRM.gerente_id</w:t>
      </w:r>
      <w:proofErr w:type="spellEnd"/>
      <w:r>
        <w:t xml:space="preserve"> y </w:t>
      </w:r>
      <w:proofErr w:type="spellStart"/>
      <w:proofErr w:type="gramStart"/>
      <w:r>
        <w:t>DW.FACT</w:t>
      </w:r>
      <w:proofErr w:type="gramEnd"/>
      <w:r>
        <w:t>_ReconocimientoRM.gerente_id</w:t>
      </w:r>
      <w:proofErr w:type="spellEnd"/>
      <w:r>
        <w:t xml:space="preserve"> (hechos.py, líneas 309, 336 y 384) — en las tres tablas, </w:t>
      </w:r>
      <w:proofErr w:type="spellStart"/>
      <w:r>
        <w:t>rm_id</w:t>
      </w:r>
      <w:proofErr w:type="spellEnd"/>
      <w:r>
        <w:t xml:space="preserve">, </w:t>
      </w:r>
      <w:proofErr w:type="spellStart"/>
      <w:r>
        <w:t>pais_id</w:t>
      </w:r>
      <w:proofErr w:type="spellEnd"/>
      <w:r>
        <w:t xml:space="preserve"> y </w:t>
      </w:r>
      <w:proofErr w:type="spellStart"/>
      <w:r>
        <w:t>linea_id</w:t>
      </w:r>
      <w:proofErr w:type="spellEnd"/>
      <w:r>
        <w:t xml:space="preserve"> de la misma fila sí tienen FK declarada; únicamente </w:t>
      </w:r>
      <w:proofErr w:type="spellStart"/>
      <w:r>
        <w:t>gerente_id</w:t>
      </w:r>
      <w:proofErr w:type="spellEnd"/>
      <w:r>
        <w:t xml:space="preserve"> queda sin restricción.</w:t>
      </w:r>
    </w:p>
    <w:p w14:paraId="11DD88C8" w14:textId="77777777" w:rsidR="00BF7F94" w:rsidRDefault="00000000">
      <w:pPr>
        <w:spacing w:after="140"/>
      </w:pPr>
      <w:r>
        <w:rPr>
          <w:b/>
          <w:bCs/>
          <w:color w:val="B03A2E"/>
        </w:rPr>
        <w:t xml:space="preserve">Riesgo / impacto: </w:t>
      </w:r>
      <w:r>
        <w:t xml:space="preserve">No es un descuido aislado sino un patrón sistemático en al menos 4 tablas. Y tiene una dimensión de seguridad, no solo de integridad de datos: </w:t>
      </w:r>
      <w:proofErr w:type="spellStart"/>
      <w:r>
        <w:t>Usuario.gerente_id</w:t>
      </w:r>
      <w:proofErr w:type="spellEnd"/>
      <w:r>
        <w:t xml:space="preserve"> y </w:t>
      </w:r>
      <w:proofErr w:type="spellStart"/>
      <w:r>
        <w:t>Usuario.rm_id</w:t>
      </w:r>
      <w:proofErr w:type="spellEnd"/>
      <w:r>
        <w:t xml:space="preserve"> son exactamente las columnas que alimentan el </w:t>
      </w:r>
      <w:proofErr w:type="spellStart"/>
      <w:proofErr w:type="gramStart"/>
      <w:r>
        <w:t>auto-filtro</w:t>
      </w:r>
      <w:proofErr w:type="spellEnd"/>
      <w:proofErr w:type="gramEnd"/>
      <w:r>
        <w:t xml:space="preserve"> de alcance RBAC para los roles GERENTE_DISTRITO y REPRESENTANTE_MEDICO (CLAUDE.md §13/§17). Sin FK, nada impide asignar a un usuario un </w:t>
      </w:r>
      <w:proofErr w:type="spellStart"/>
      <w:r>
        <w:t>gerente_id</w:t>
      </w:r>
      <w:proofErr w:type="spellEnd"/>
      <w:r>
        <w:t xml:space="preserve"> o </w:t>
      </w:r>
      <w:proofErr w:type="spellStart"/>
      <w:r>
        <w:t>rm_id</w:t>
      </w:r>
      <w:proofErr w:type="spellEnd"/>
      <w:r>
        <w:t xml:space="preserve"> inexistente o ya eliminado — y, combinado con el Hallazgo F2 (colisión de </w:t>
      </w:r>
      <w:proofErr w:type="spellStart"/>
      <w:r>
        <w:t>IDs</w:t>
      </w:r>
      <w:proofErr w:type="spellEnd"/>
      <w:r>
        <w:t xml:space="preserve"> entre países), un ID que tras una reimportación pasó a pertenecer a un gerente de otro país. El resultado potencial es un Gerente de Distrito cuyo </w:t>
      </w:r>
      <w:proofErr w:type="spellStart"/>
      <w:proofErr w:type="gramStart"/>
      <w:r>
        <w:t>auto-filtro</w:t>
      </w:r>
      <w:proofErr w:type="spellEnd"/>
      <w:proofErr w:type="gramEnd"/>
      <w:r>
        <w:t xml:space="preserve"> de alcance termina apuntando al equipo equivocado.</w:t>
      </w:r>
    </w:p>
    <w:p w14:paraId="7AD520DE" w14:textId="77777777" w:rsidR="00BF7F94" w:rsidRDefault="00000000">
      <w:pPr>
        <w:spacing w:after="140"/>
      </w:pPr>
      <w:r>
        <w:rPr>
          <w:b/>
          <w:bCs/>
          <w:color w:val="1E7145"/>
        </w:rPr>
        <w:t xml:space="preserve">Recomendación: </w:t>
      </w:r>
      <w:r>
        <w:t xml:space="preserve">Agregar </w:t>
      </w:r>
      <w:proofErr w:type="spellStart"/>
      <w:r>
        <w:t>ForeignKey</w:t>
      </w:r>
      <w:proofErr w:type="spellEnd"/>
      <w:r>
        <w:t xml:space="preserve"> hacia </w:t>
      </w:r>
      <w:proofErr w:type="spellStart"/>
      <w:r>
        <w:t>Config.DIM_Gerente.id</w:t>
      </w:r>
      <w:proofErr w:type="spellEnd"/>
      <w:r>
        <w:t xml:space="preserve"> y </w:t>
      </w:r>
      <w:proofErr w:type="spellStart"/>
      <w:r>
        <w:t>Config.DIM_RM.id</w:t>
      </w:r>
      <w:proofErr w:type="spellEnd"/>
      <w:r>
        <w:t xml:space="preserve"> en las 4 columnas identificadas, vía migración </w:t>
      </w:r>
      <w:proofErr w:type="spellStart"/>
      <w:r>
        <w:t>Alembic</w:t>
      </w:r>
      <w:proofErr w:type="spellEnd"/>
      <w:r>
        <w:t xml:space="preserve">. Como son columnas existentes (no nuevas), seguir la plantilla seria de dos pasos: primero identificar y limpiar/nulificar valores huérfanos, luego crear la </w:t>
      </w:r>
      <w:proofErr w:type="spellStart"/>
      <w:r>
        <w:t>constraint</w:t>
      </w:r>
      <w:proofErr w:type="spellEnd"/>
      <w:r>
        <w:t xml:space="preserve"> — igual disciplina que la plantilla de “columna NOT NULL con FK” ya documentada en MIGRATIONS.md, adaptada a ALTER de columna existente.</w:t>
      </w:r>
    </w:p>
    <w:p w14:paraId="5D5AD809" w14:textId="77777777" w:rsidR="00BF7F94" w:rsidRDefault="00000000">
      <w:pPr>
        <w:pStyle w:val="Ttulo3"/>
      </w:pPr>
      <w:r>
        <w:rPr>
          <w:color w:val="B03A2E"/>
        </w:rPr>
        <w:t xml:space="preserve">Hallazgo F9 — </w:t>
      </w:r>
      <w:proofErr w:type="spellStart"/>
      <w:r>
        <w:rPr>
          <w:color w:val="B03A2E"/>
        </w:rPr>
        <w:t>DIM_</w:t>
      </w:r>
      <w:proofErr w:type="gramStart"/>
      <w:r>
        <w:rPr>
          <w:color w:val="B03A2E"/>
        </w:rPr>
        <w:t>RM.codigo</w:t>
      </w:r>
      <w:proofErr w:type="spellEnd"/>
      <w:proofErr w:type="gramEnd"/>
      <w:r>
        <w:rPr>
          <w:color w:val="B03A2E"/>
        </w:rPr>
        <w:t xml:space="preserve"> es único a nivel global (no por país) y el chequeo de duplicados en la importación repite el mismo error</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14C472BD" w14:textId="77777777">
        <w:tblPrEx>
          <w:tblCellMar>
            <w:top w:w="0" w:type="dxa"/>
            <w:bottom w:w="0" w:type="dxa"/>
          </w:tblCellMar>
        </w:tblPrEx>
        <w:tc>
          <w:tcPr>
            <w:tcW w:w="2200" w:type="dxa"/>
            <w:shd w:val="clear" w:color="auto" w:fill="FBEAE8"/>
            <w:tcMar>
              <w:top w:w="60" w:type="dxa"/>
              <w:left w:w="140" w:type="dxa"/>
              <w:bottom w:w="60" w:type="dxa"/>
              <w:right w:w="140" w:type="dxa"/>
            </w:tcMar>
          </w:tcPr>
          <w:p w14:paraId="011EC6FC" w14:textId="77777777" w:rsidR="00BF7F94" w:rsidRDefault="00000000">
            <w:pPr>
              <w:jc w:val="center"/>
            </w:pPr>
            <w:r>
              <w:rPr>
                <w:b/>
                <w:bCs/>
                <w:color w:val="B03A2E"/>
                <w:sz w:val="18"/>
                <w:szCs w:val="18"/>
              </w:rPr>
              <w:t>CRÍTICA</w:t>
            </w:r>
          </w:p>
        </w:tc>
      </w:tr>
    </w:tbl>
    <w:p w14:paraId="4F72712F" w14:textId="77777777" w:rsidR="00BF7F94" w:rsidRDefault="00000000">
      <w:pPr>
        <w:spacing w:after="140"/>
      </w:pPr>
      <w:r>
        <w:rPr>
          <w:b/>
          <w:bCs/>
          <w:color w:val="1E2761"/>
        </w:rPr>
        <w:lastRenderedPageBreak/>
        <w:t xml:space="preserve">Evidencia: </w:t>
      </w:r>
      <w:proofErr w:type="spellStart"/>
      <w:r>
        <w:t>models</w:t>
      </w:r>
      <w:proofErr w:type="spellEnd"/>
      <w:r>
        <w:t xml:space="preserve">/dimensiones.py, línea 65: </w:t>
      </w:r>
      <w:proofErr w:type="spellStart"/>
      <w:r>
        <w:t>codigo</w:t>
      </w:r>
      <w:proofErr w:type="spellEnd"/>
      <w:r>
        <w:t xml:space="preserve">: </w:t>
      </w:r>
      <w:proofErr w:type="spellStart"/>
      <w:r>
        <w:t>Mapped</w:t>
      </w:r>
      <w:proofErr w:type="spellEnd"/>
      <w:r>
        <w:t>[</w:t>
      </w:r>
      <w:proofErr w:type="spellStart"/>
      <w:r>
        <w:t>str</w:t>
      </w:r>
      <w:proofErr w:type="spellEnd"/>
      <w:r>
        <w:t xml:space="preserve">] = </w:t>
      </w:r>
      <w:proofErr w:type="spellStart"/>
      <w:r>
        <w:t>mapped_</w:t>
      </w:r>
      <w:proofErr w:type="gramStart"/>
      <w:r>
        <w:t>column</w:t>
      </w:r>
      <w:proofErr w:type="spellEnd"/>
      <w:r>
        <w:t>(String(</w:t>
      </w:r>
      <w:proofErr w:type="gramEnd"/>
      <w:r>
        <w:t xml:space="preserve">20), </w:t>
      </w:r>
      <w:proofErr w:type="spellStart"/>
      <w:r>
        <w:t>unique</w:t>
      </w:r>
      <w:proofErr w:type="spellEnd"/>
      <w:r>
        <w:t xml:space="preserve">=True, </w:t>
      </w:r>
      <w:proofErr w:type="spellStart"/>
      <w:r>
        <w:t>nullable</w:t>
      </w:r>
      <w:proofErr w:type="spellEnd"/>
      <w:r>
        <w:t xml:space="preserve">=False) — unicidad global, sin combinarla con </w:t>
      </w:r>
      <w:proofErr w:type="spellStart"/>
      <w:r>
        <w:t>pais_id</w:t>
      </w:r>
      <w:proofErr w:type="spellEnd"/>
      <w:r>
        <w:t xml:space="preserve">. Contraste directo con el modelo Indicador (mismo archivo, líneas 78-86), que sí implementa </w:t>
      </w:r>
      <w:proofErr w:type="spellStart"/>
      <w:proofErr w:type="gramStart"/>
      <w:r>
        <w:t>UniqueConstraint</w:t>
      </w:r>
      <w:proofErr w:type="spellEnd"/>
      <w:r>
        <w:t>(</w:t>
      </w:r>
      <w:proofErr w:type="gramEnd"/>
      <w:r>
        <w:t>"</w:t>
      </w:r>
      <w:proofErr w:type="spellStart"/>
      <w:r>
        <w:t>pais_id</w:t>
      </w:r>
      <w:proofErr w:type="spellEnd"/>
      <w:r>
        <w:t>", "</w:t>
      </w:r>
      <w:proofErr w:type="spellStart"/>
      <w:r>
        <w:t>codigo</w:t>
      </w:r>
      <w:proofErr w:type="spellEnd"/>
      <w:r>
        <w:t xml:space="preserve">") con un comentario explícito justificándolo: “el mismo </w:t>
      </w:r>
      <w:proofErr w:type="spellStart"/>
      <w:r>
        <w:t>codigo</w:t>
      </w:r>
      <w:proofErr w:type="spellEnd"/>
      <w:r>
        <w:t xml:space="preserve"> puede repetirse entre </w:t>
      </w:r>
      <w:proofErr w:type="spellStart"/>
      <w:r>
        <w:t>paises</w:t>
      </w:r>
      <w:proofErr w:type="spellEnd"/>
      <w:r>
        <w:t xml:space="preserve"> distintos… lo que debe ser </w:t>
      </w:r>
      <w:proofErr w:type="spellStart"/>
      <w:r>
        <w:t>unico</w:t>
      </w:r>
      <w:proofErr w:type="spellEnd"/>
      <w:r>
        <w:t xml:space="preserve"> es la </w:t>
      </w:r>
      <w:proofErr w:type="spellStart"/>
      <w:r>
        <w:t>combinacion</w:t>
      </w:r>
      <w:proofErr w:type="spellEnd"/>
      <w:r>
        <w:t xml:space="preserve"> (</w:t>
      </w:r>
      <w:proofErr w:type="spellStart"/>
      <w:r>
        <w:t>pais_id</w:t>
      </w:r>
      <w:proofErr w:type="spellEnd"/>
      <w:r>
        <w:t xml:space="preserve">, </w:t>
      </w:r>
      <w:proofErr w:type="spellStart"/>
      <w:r>
        <w:t>codigo</w:t>
      </w:r>
      <w:proofErr w:type="spellEnd"/>
      <w:r>
        <w:t xml:space="preserve">)”. El chequeo de duplicados en dims.py (·línea ≈652-655) repite el problema a nivel de aplicación: </w:t>
      </w:r>
      <w:proofErr w:type="spellStart"/>
      <w:proofErr w:type="gramStart"/>
      <w:r>
        <w:t>filter</w:t>
      </w:r>
      <w:proofErr w:type="spellEnd"/>
      <w:r>
        <w:t>(</w:t>
      </w:r>
      <w:proofErr w:type="spellStart"/>
      <w:proofErr w:type="gramEnd"/>
      <w:r>
        <w:t>RepresentanteMedico.codigo</w:t>
      </w:r>
      <w:proofErr w:type="spellEnd"/>
      <w:r>
        <w:t xml:space="preserve"> == </w:t>
      </w:r>
      <w:proofErr w:type="spellStart"/>
      <w:r>
        <w:t>str</w:t>
      </w:r>
      <w:proofErr w:type="spellEnd"/>
      <w:r>
        <w:t>(</w:t>
      </w:r>
      <w:proofErr w:type="spellStart"/>
      <w:r>
        <w:t>rm_codigo</w:t>
      </w:r>
      <w:proofErr w:type="spellEnd"/>
      <w:r>
        <w:t xml:space="preserve">)) sin filtrar por </w:t>
      </w:r>
      <w:proofErr w:type="spellStart"/>
      <w:r>
        <w:t>pais_id</w:t>
      </w:r>
      <w:proofErr w:type="spellEnd"/>
      <w:r>
        <w:t>.</w:t>
      </w:r>
    </w:p>
    <w:p w14:paraId="746D0A13" w14:textId="77777777" w:rsidR="00BF7F94" w:rsidRDefault="00000000">
      <w:pPr>
        <w:spacing w:after="140"/>
      </w:pPr>
      <w:r>
        <w:rPr>
          <w:b/>
          <w:bCs/>
          <w:color w:val="B03A2E"/>
        </w:rPr>
        <w:t xml:space="preserve">Riesgo / impacto: </w:t>
      </w:r>
      <w:r>
        <w:t>El propio código demuestra que conoce el patrón correcto — lo aplicó en Indicador — pero no lo replicó en DIM_RM, donde es igualmente necesario: los códigos de RM (“RM001”, “VM01”) son asignados independientemente por cada operación local/país. Si dos países coinciden en un código, el segundo RM se omite silenciosamente durante la importación (se interpreta como “ya existe”) aunque sea una persona real distinta — quedando fuera de Productividad, Score y Ranking sin ningún aviso.</w:t>
      </w:r>
    </w:p>
    <w:p w14:paraId="162875F0" w14:textId="77777777" w:rsidR="00BF7F94" w:rsidRDefault="00000000">
      <w:pPr>
        <w:spacing w:after="140"/>
      </w:pPr>
      <w:r>
        <w:rPr>
          <w:b/>
          <w:bCs/>
          <w:color w:val="1E7145"/>
        </w:rPr>
        <w:t xml:space="preserve">Recomendación: </w:t>
      </w:r>
      <w:r>
        <w:t xml:space="preserve">Sustituir el </w:t>
      </w:r>
      <w:proofErr w:type="spellStart"/>
      <w:r>
        <w:t>unique</w:t>
      </w:r>
      <w:proofErr w:type="spellEnd"/>
      <w:r>
        <w:t xml:space="preserve">=True simple por </w:t>
      </w:r>
      <w:proofErr w:type="spellStart"/>
      <w:proofErr w:type="gramStart"/>
      <w:r>
        <w:t>UniqueConstraint</w:t>
      </w:r>
      <w:proofErr w:type="spellEnd"/>
      <w:r>
        <w:t>(</w:t>
      </w:r>
      <w:proofErr w:type="gramEnd"/>
      <w:r>
        <w:t>"</w:t>
      </w:r>
      <w:proofErr w:type="spellStart"/>
      <w:r>
        <w:t>pais_id</w:t>
      </w:r>
      <w:proofErr w:type="spellEnd"/>
      <w:r>
        <w:t>", "</w:t>
      </w:r>
      <w:proofErr w:type="spellStart"/>
      <w:r>
        <w:t>codigo</w:t>
      </w:r>
      <w:proofErr w:type="spellEnd"/>
      <w:r>
        <w:t xml:space="preserve">") vía migración </w:t>
      </w:r>
      <w:proofErr w:type="spellStart"/>
      <w:r>
        <w:t>Alembic</w:t>
      </w:r>
      <w:proofErr w:type="spellEnd"/>
      <w:r>
        <w:t xml:space="preserve"> (requiere primero auditar si ya existen colisiones en producción). Corregir en paralelo el </w:t>
      </w:r>
      <w:proofErr w:type="spellStart"/>
      <w:r>
        <w:t>query</w:t>
      </w:r>
      <w:proofErr w:type="spellEnd"/>
      <w:r>
        <w:t xml:space="preserve"> de duplicados en dims.py para filtrar también por </w:t>
      </w:r>
      <w:proofErr w:type="spellStart"/>
      <w:r>
        <w:t>pais_id</w:t>
      </w:r>
      <w:proofErr w:type="spellEnd"/>
      <w:r>
        <w:t>.</w:t>
      </w:r>
    </w:p>
    <w:p w14:paraId="2941358E" w14:textId="77777777" w:rsidR="00BF7F94" w:rsidRDefault="00000000">
      <w:pPr>
        <w:pStyle w:val="Ttulo2"/>
      </w:pPr>
      <w:r>
        <w:t>4.2 Severidad Alta</w:t>
      </w:r>
    </w:p>
    <w:p w14:paraId="45B0595C" w14:textId="77777777" w:rsidR="00BF7F94" w:rsidRDefault="00000000">
      <w:pPr>
        <w:pStyle w:val="Ttulo3"/>
      </w:pPr>
      <w:r>
        <w:rPr>
          <w:color w:val="B9770E"/>
        </w:rPr>
        <w:t xml:space="preserve">Hallazgo F5 — Sin </w:t>
      </w:r>
      <w:proofErr w:type="spellStart"/>
      <w:r>
        <w:rPr>
          <w:color w:val="B9770E"/>
        </w:rPr>
        <w:t>UniqueConstraint</w:t>
      </w:r>
      <w:proofErr w:type="spellEnd"/>
      <w:r>
        <w:rPr>
          <w:color w:val="B9770E"/>
        </w:rPr>
        <w:t xml:space="preserve"> en las FACT_* calculadas que dependen del patrón “</w:t>
      </w:r>
      <w:proofErr w:type="spellStart"/>
      <w:r>
        <w:rPr>
          <w:color w:val="B9770E"/>
        </w:rPr>
        <w:t>delete-then-regenerate</w:t>
      </w:r>
      <w:proofErr w:type="spellEnd"/>
      <w:r>
        <w:rPr>
          <w:color w:val="B9770E"/>
        </w:rPr>
        <w:t>”</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370740B0" w14:textId="77777777">
        <w:tblPrEx>
          <w:tblCellMar>
            <w:top w:w="0" w:type="dxa"/>
            <w:bottom w:w="0" w:type="dxa"/>
          </w:tblCellMar>
        </w:tblPrEx>
        <w:tc>
          <w:tcPr>
            <w:tcW w:w="2200" w:type="dxa"/>
            <w:shd w:val="clear" w:color="auto" w:fill="FDF2E3"/>
            <w:tcMar>
              <w:top w:w="60" w:type="dxa"/>
              <w:left w:w="140" w:type="dxa"/>
              <w:bottom w:w="60" w:type="dxa"/>
              <w:right w:w="140" w:type="dxa"/>
            </w:tcMar>
          </w:tcPr>
          <w:p w14:paraId="1960F0EC" w14:textId="77777777" w:rsidR="00BF7F94" w:rsidRDefault="00000000">
            <w:pPr>
              <w:jc w:val="center"/>
            </w:pPr>
            <w:r>
              <w:rPr>
                <w:b/>
                <w:bCs/>
                <w:color w:val="B9770E"/>
                <w:sz w:val="18"/>
                <w:szCs w:val="18"/>
              </w:rPr>
              <w:t>ALTA</w:t>
            </w:r>
          </w:p>
        </w:tc>
      </w:tr>
    </w:tbl>
    <w:p w14:paraId="2C496732" w14:textId="77777777" w:rsidR="00BF7F94" w:rsidRDefault="00000000">
      <w:pPr>
        <w:spacing w:after="140"/>
      </w:pPr>
      <w:r>
        <w:rPr>
          <w:b/>
          <w:bCs/>
          <w:color w:val="1E2761"/>
        </w:rPr>
        <w:t xml:space="preserve">Evidencia: </w:t>
      </w:r>
      <w:proofErr w:type="spellStart"/>
      <w:r>
        <w:t>FACT_ScoreIntegralRM</w:t>
      </w:r>
      <w:proofErr w:type="spellEnd"/>
      <w:r>
        <w:t xml:space="preserve">, </w:t>
      </w:r>
      <w:proofErr w:type="spellStart"/>
      <w:r>
        <w:t>FACT_RankingRM</w:t>
      </w:r>
      <w:proofErr w:type="spellEnd"/>
      <w:r>
        <w:t xml:space="preserve"> y </w:t>
      </w:r>
      <w:proofErr w:type="spellStart"/>
      <w:r>
        <w:t>FACT_RankingGerente</w:t>
      </w:r>
      <w:proofErr w:type="spellEnd"/>
      <w:r>
        <w:t xml:space="preserve"> (hechos.py, líneas ≈295-368) no declaran ninguna </w:t>
      </w:r>
      <w:proofErr w:type="spellStart"/>
      <w:r>
        <w:t>UniqueConstraint</w:t>
      </w:r>
      <w:proofErr w:type="spellEnd"/>
      <w:r>
        <w:t xml:space="preserve"> sobre (</w:t>
      </w:r>
      <w:proofErr w:type="spellStart"/>
      <w:r>
        <w:t>rm_id</w:t>
      </w:r>
      <w:proofErr w:type="spellEnd"/>
      <w:r>
        <w:t xml:space="preserve">, </w:t>
      </w:r>
      <w:proofErr w:type="spellStart"/>
      <w:r>
        <w:t>ciclo_id</w:t>
      </w:r>
      <w:proofErr w:type="spellEnd"/>
      <w:r>
        <w:t>) —ni (</w:t>
      </w:r>
      <w:proofErr w:type="spellStart"/>
      <w:r>
        <w:t>gerente_id</w:t>
      </w:r>
      <w:proofErr w:type="spellEnd"/>
      <w:r>
        <w:t xml:space="preserve">, </w:t>
      </w:r>
      <w:proofErr w:type="spellStart"/>
      <w:r>
        <w:t>ciclo_id</w:t>
      </w:r>
      <w:proofErr w:type="spellEnd"/>
      <w:r>
        <w:t xml:space="preserve">) en el caso de </w:t>
      </w:r>
      <w:proofErr w:type="spellStart"/>
      <w:r>
        <w:t>RankingGerente</w:t>
      </w:r>
      <w:proofErr w:type="spellEnd"/>
      <w:r>
        <w:t xml:space="preserve">—, solo índices simples. La garantía de “una fila por RM/ciclo” depende enteramente de que </w:t>
      </w:r>
      <w:proofErr w:type="spellStart"/>
      <w:proofErr w:type="gramStart"/>
      <w:r>
        <w:t>DW.sp</w:t>
      </w:r>
      <w:proofErr w:type="gramEnd"/>
      <w:r>
        <w:t>_GenerarRankingCiclo</w:t>
      </w:r>
      <w:proofErr w:type="spellEnd"/>
      <w:r>
        <w:t xml:space="preserve"> complete su DELETE+INSERT sin interrupción (CLAUDE.md §8).</w:t>
      </w:r>
    </w:p>
    <w:p w14:paraId="1708B90A" w14:textId="77777777" w:rsidR="00BF7F94" w:rsidRDefault="00000000">
      <w:pPr>
        <w:spacing w:after="140"/>
      </w:pPr>
      <w:r>
        <w:rPr>
          <w:b/>
          <w:bCs/>
          <w:color w:val="B03A2E"/>
        </w:rPr>
        <w:t xml:space="preserve">Riesgo / impacto: </w:t>
      </w:r>
      <w:r>
        <w:t xml:space="preserve">Cualquier fallo parcial del </w:t>
      </w:r>
      <w:proofErr w:type="spellStart"/>
      <w:r>
        <w:t>stored</w:t>
      </w:r>
      <w:proofErr w:type="spellEnd"/>
      <w:r>
        <w:t xml:space="preserve"> </w:t>
      </w:r>
      <w:proofErr w:type="spellStart"/>
      <w:r>
        <w:t>procedure</w:t>
      </w:r>
      <w:proofErr w:type="spellEnd"/>
      <w:r>
        <w:t xml:space="preserve"> (</w:t>
      </w:r>
      <w:proofErr w:type="spellStart"/>
      <w:r>
        <w:t>timeout</w:t>
      </w:r>
      <w:proofErr w:type="spellEnd"/>
      <w:r>
        <w:t xml:space="preserve">, </w:t>
      </w:r>
      <w:proofErr w:type="spellStart"/>
      <w:r>
        <w:t>deadlock</w:t>
      </w:r>
      <w:proofErr w:type="spellEnd"/>
      <w:r>
        <w:t>, el ciclo se cierra a mitad de la ejecución) puede dejar filas duplicadas por RM/ciclo sin que la base de datos lo impida ni lo detecte — la única defensa es la disciplina del SP, no el esquema.</w:t>
      </w:r>
    </w:p>
    <w:p w14:paraId="44AF803C" w14:textId="77777777" w:rsidR="00BF7F94" w:rsidRDefault="00000000">
      <w:pPr>
        <w:spacing w:after="140"/>
      </w:pPr>
      <w:r>
        <w:rPr>
          <w:b/>
          <w:bCs/>
          <w:color w:val="1E7145"/>
        </w:rPr>
        <w:t xml:space="preserve">Recomendación: </w:t>
      </w:r>
      <w:r>
        <w:t xml:space="preserve">Agregar </w:t>
      </w:r>
      <w:proofErr w:type="spellStart"/>
      <w:proofErr w:type="gramStart"/>
      <w:r>
        <w:t>UniqueConstraint</w:t>
      </w:r>
      <w:proofErr w:type="spellEnd"/>
      <w:r>
        <w:t>(</w:t>
      </w:r>
      <w:proofErr w:type="spellStart"/>
      <w:proofErr w:type="gramEnd"/>
      <w:r>
        <w:t>rm_id</w:t>
      </w:r>
      <w:proofErr w:type="spellEnd"/>
      <w:r>
        <w:t xml:space="preserve">, </w:t>
      </w:r>
      <w:proofErr w:type="spellStart"/>
      <w:r>
        <w:t>ciclo_id</w:t>
      </w:r>
      <w:proofErr w:type="spellEnd"/>
      <w:r>
        <w:t xml:space="preserve">) en </w:t>
      </w:r>
      <w:proofErr w:type="spellStart"/>
      <w:r>
        <w:t>ScoreIntegralRM</w:t>
      </w:r>
      <w:proofErr w:type="spellEnd"/>
      <w:r>
        <w:t>, (</w:t>
      </w:r>
      <w:proofErr w:type="spellStart"/>
      <w:r>
        <w:t>rm_id</w:t>
      </w:r>
      <w:proofErr w:type="spellEnd"/>
      <w:r>
        <w:t xml:space="preserve">, </w:t>
      </w:r>
      <w:proofErr w:type="spellStart"/>
      <w:r>
        <w:t>ciclo_id</w:t>
      </w:r>
      <w:proofErr w:type="spellEnd"/>
      <w:r>
        <w:t xml:space="preserve">, </w:t>
      </w:r>
      <w:proofErr w:type="spellStart"/>
      <w:r>
        <w:t>tipo_ranking</w:t>
      </w:r>
      <w:proofErr w:type="spellEnd"/>
      <w:r>
        <w:t xml:space="preserve">) en </w:t>
      </w:r>
      <w:proofErr w:type="spellStart"/>
      <w:r>
        <w:t>RankingRM</w:t>
      </w:r>
      <w:proofErr w:type="spellEnd"/>
      <w:r>
        <w:t xml:space="preserve"> y (</w:t>
      </w:r>
      <w:proofErr w:type="spellStart"/>
      <w:r>
        <w:t>gerente_id</w:t>
      </w:r>
      <w:proofErr w:type="spellEnd"/>
      <w:r>
        <w:t xml:space="preserve">, </w:t>
      </w:r>
      <w:proofErr w:type="spellStart"/>
      <w:r>
        <w:t>ciclo_id</w:t>
      </w:r>
      <w:proofErr w:type="spellEnd"/>
      <w:r>
        <w:t xml:space="preserve">) en </w:t>
      </w:r>
      <w:proofErr w:type="spellStart"/>
      <w:r>
        <w:t>RankingGerente</w:t>
      </w:r>
      <w:proofErr w:type="spellEnd"/>
      <w:r>
        <w:t xml:space="preserve">, vía migración </w:t>
      </w:r>
      <w:proofErr w:type="spellStart"/>
      <w:r>
        <w:t>Alembic</w:t>
      </w:r>
      <w:proofErr w:type="spellEnd"/>
      <w:r>
        <w:t xml:space="preserve">. Acompañar con un ajuste al </w:t>
      </w:r>
      <w:proofErr w:type="spellStart"/>
      <w:r>
        <w:t>stored</w:t>
      </w:r>
      <w:proofErr w:type="spellEnd"/>
      <w:r>
        <w:t xml:space="preserve"> </w:t>
      </w:r>
      <w:proofErr w:type="spellStart"/>
      <w:r>
        <w:t>procedure</w:t>
      </w:r>
      <w:proofErr w:type="spellEnd"/>
      <w:r>
        <w:t xml:space="preserve"> </w:t>
      </w:r>
      <w:proofErr w:type="spellStart"/>
      <w:proofErr w:type="gramStart"/>
      <w:r>
        <w:t>DW.sp</w:t>
      </w:r>
      <w:proofErr w:type="gramEnd"/>
      <w:r>
        <w:t>_GenerarRankingCiclo</w:t>
      </w:r>
      <w:proofErr w:type="spellEnd"/>
      <w:r>
        <w:t xml:space="preserve"> para que use MERGE/</w:t>
      </w:r>
      <w:proofErr w:type="spellStart"/>
      <w:r>
        <w:t>upsert</w:t>
      </w:r>
      <w:proofErr w:type="spellEnd"/>
      <w:r>
        <w:t xml:space="preserve"> explícito en lugar de confiar únicamente en el orden DELETE→INSERT (CLAUDE.md §23 ya exige que todo cambio de lógica de cálculo se acompañe de la actualización del SP correspondiente).</w:t>
      </w:r>
    </w:p>
    <w:p w14:paraId="1BD76234" w14:textId="77777777" w:rsidR="00BF7F94" w:rsidRDefault="00000000">
      <w:pPr>
        <w:pStyle w:val="Ttulo3"/>
      </w:pPr>
      <w:r>
        <w:rPr>
          <w:color w:val="B9770E"/>
        </w:rPr>
        <w:t xml:space="preserve">Hallazgo F6 — </w:t>
      </w:r>
      <w:proofErr w:type="spellStart"/>
      <w:r>
        <w:rPr>
          <w:color w:val="B9770E"/>
        </w:rPr>
        <w:t>DIM_IndicadorTabla.puntos</w:t>
      </w:r>
      <w:proofErr w:type="spellEnd"/>
      <w:r>
        <w:rPr>
          <w:color w:val="B9770E"/>
        </w:rPr>
        <w:t xml:space="preserve"> tiene dos semánticas incompatibles según la hoja de origen del Excel</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7C01056F" w14:textId="77777777">
        <w:tblPrEx>
          <w:tblCellMar>
            <w:top w:w="0" w:type="dxa"/>
            <w:bottom w:w="0" w:type="dxa"/>
          </w:tblCellMar>
        </w:tblPrEx>
        <w:tc>
          <w:tcPr>
            <w:tcW w:w="2200" w:type="dxa"/>
            <w:shd w:val="clear" w:color="auto" w:fill="FDF2E3"/>
            <w:tcMar>
              <w:top w:w="60" w:type="dxa"/>
              <w:left w:w="140" w:type="dxa"/>
              <w:bottom w:w="60" w:type="dxa"/>
              <w:right w:w="140" w:type="dxa"/>
            </w:tcMar>
          </w:tcPr>
          <w:p w14:paraId="30DF27A7" w14:textId="77777777" w:rsidR="00BF7F94" w:rsidRDefault="00000000">
            <w:pPr>
              <w:jc w:val="center"/>
            </w:pPr>
            <w:r>
              <w:rPr>
                <w:b/>
                <w:bCs/>
                <w:color w:val="B9770E"/>
                <w:sz w:val="18"/>
                <w:szCs w:val="18"/>
              </w:rPr>
              <w:t>ALTA</w:t>
            </w:r>
          </w:p>
        </w:tc>
      </w:tr>
    </w:tbl>
    <w:p w14:paraId="4E3A7660" w14:textId="77777777" w:rsidR="00BF7F94" w:rsidRDefault="00000000">
      <w:pPr>
        <w:spacing w:after="140"/>
      </w:pPr>
      <w:r>
        <w:rPr>
          <w:b/>
          <w:bCs/>
          <w:color w:val="1E2761"/>
        </w:rPr>
        <w:t xml:space="preserve">Evidencia: </w:t>
      </w:r>
      <w:r>
        <w:t>La ruta de importación DIM_INDICADOR_TABLA guarda puntos absolutos (dims.py: puntos = _d(</w:t>
      </w:r>
      <w:proofErr w:type="spellStart"/>
      <w:r>
        <w:t>row.get</w:t>
      </w:r>
      <w:proofErr w:type="spellEnd"/>
      <w:r>
        <w:t xml:space="preserve">("PUNTOS") </w:t>
      </w:r>
      <w:proofErr w:type="spellStart"/>
      <w:r>
        <w:t>or</w:t>
      </w:r>
      <w:proofErr w:type="spellEnd"/>
      <w:r>
        <w:t xml:space="preserve"> </w:t>
      </w:r>
      <w:proofErr w:type="spellStart"/>
      <w:r>
        <w:t>row.get</w:t>
      </w:r>
      <w:proofErr w:type="spellEnd"/>
      <w:r>
        <w:t>("PUNTOS_REGLA"))). La ruta TABLAS_RM guarda en la misma columna un factor multiplicativo (dims.py ≈líneas 1096-1098: puntos = Decimal(</w:t>
      </w:r>
      <w:proofErr w:type="gramStart"/>
      <w:r>
        <w:t>round</w:t>
      </w:r>
      <w:proofErr w:type="gramEnd"/>
      <w:r>
        <w:t xml:space="preserve">(entrada["factor"], 4)), con el comentario “el SP multiplica factor × peso en </w:t>
      </w:r>
      <w:proofErr w:type="spellStart"/>
      <w:r>
        <w:t>runtime</w:t>
      </w:r>
      <w:proofErr w:type="spellEnd"/>
      <w:r>
        <w:t xml:space="preserve">: </w:t>
      </w:r>
      <w:proofErr w:type="spellStart"/>
      <w:r>
        <w:t>puntos_obtenidos</w:t>
      </w:r>
      <w:proofErr w:type="spellEnd"/>
      <w:r>
        <w:t xml:space="preserve"> = factor × </w:t>
      </w:r>
      <w:proofErr w:type="spellStart"/>
      <w:r>
        <w:t>DIM_Indicador.ponderacion_pct</w:t>
      </w:r>
      <w:proofErr w:type="spellEnd"/>
      <w:r>
        <w:t>”).</w:t>
      </w:r>
    </w:p>
    <w:p w14:paraId="33DC0EE0" w14:textId="77777777" w:rsidR="00BF7F94" w:rsidRDefault="00000000">
      <w:pPr>
        <w:spacing w:after="140"/>
      </w:pPr>
      <w:r>
        <w:rPr>
          <w:b/>
          <w:bCs/>
          <w:color w:val="B03A2E"/>
        </w:rPr>
        <w:t xml:space="preserve">Riesgo / impacto: </w:t>
      </w:r>
      <w:r>
        <w:t>Misma columna, dos significados, sin ninguna marca/</w:t>
      </w:r>
      <w:proofErr w:type="spellStart"/>
      <w:r>
        <w:t>flag</w:t>
      </w:r>
      <w:proofErr w:type="spellEnd"/>
      <w:r>
        <w:t xml:space="preserve"> que distinga cuál aplica a cada fila. Cualquier lectura directa de puntos fuera del flujo que ya conoce esta dualidad —un reporte ad-hoc, un </w:t>
      </w:r>
      <w:proofErr w:type="spellStart"/>
      <w:r>
        <w:t>dashboard</w:t>
      </w:r>
      <w:proofErr w:type="spellEnd"/>
      <w:r>
        <w:t xml:space="preserve"> nuevo, una consulta de soporte— puede interpretar mal el valor según qué hoja del Excel la originó.</w:t>
      </w:r>
    </w:p>
    <w:p w14:paraId="1C338497" w14:textId="77777777" w:rsidR="00BF7F94" w:rsidRDefault="00000000">
      <w:pPr>
        <w:spacing w:after="140"/>
      </w:pPr>
      <w:r>
        <w:rPr>
          <w:b/>
          <w:bCs/>
          <w:color w:val="1E7145"/>
        </w:rPr>
        <w:lastRenderedPageBreak/>
        <w:t xml:space="preserve">Recomendación: </w:t>
      </w:r>
      <w:r>
        <w:t xml:space="preserve">Agregar una columna </w:t>
      </w:r>
      <w:proofErr w:type="spellStart"/>
      <w:r>
        <w:t>tipo_valor</w:t>
      </w:r>
      <w:proofErr w:type="spellEnd"/>
      <w:r>
        <w:t xml:space="preserve"> (</w:t>
      </w:r>
      <w:proofErr w:type="spellStart"/>
      <w:r>
        <w:t>Enum</w:t>
      </w:r>
      <w:proofErr w:type="spellEnd"/>
      <w:r>
        <w:t xml:space="preserve">: PUNTOS_ABSOLUTOS | FACTOR_MULTIPLICATIVO) a </w:t>
      </w:r>
      <w:proofErr w:type="spellStart"/>
      <w:r>
        <w:t>DIM_IndicadorTabla</w:t>
      </w:r>
      <w:proofErr w:type="spellEnd"/>
      <w:r>
        <w:t xml:space="preserve"> mediante migración </w:t>
      </w:r>
      <w:proofErr w:type="spellStart"/>
      <w:r>
        <w:t>Alembic</w:t>
      </w:r>
      <w:proofErr w:type="spellEnd"/>
      <w:r>
        <w:t xml:space="preserve">. Actualizar dims.py para poblarla según la ruta de importación, y </w:t>
      </w:r>
      <w:proofErr w:type="spellStart"/>
      <w:proofErr w:type="gramStart"/>
      <w:r>
        <w:t>DW.sp</w:t>
      </w:r>
      <w:proofErr w:type="gramEnd"/>
      <w:r>
        <w:t>_CompletarPuntajesCiclo</w:t>
      </w:r>
      <w:proofErr w:type="spellEnd"/>
      <w:r>
        <w:t xml:space="preserve"> para leerla explícitamente en vez de asumir la semántica por convención.</w:t>
      </w:r>
    </w:p>
    <w:p w14:paraId="7F7246D4" w14:textId="77777777" w:rsidR="00BF7F94" w:rsidRDefault="00000000">
      <w:pPr>
        <w:pStyle w:val="Ttulo3"/>
      </w:pPr>
      <w:r>
        <w:rPr>
          <w:color w:val="B9770E"/>
        </w:rPr>
        <w:t xml:space="preserve">Hallazgo F7 — Resolución de indicador en el ETL de KPI_RM con </w:t>
      </w:r>
      <w:proofErr w:type="spellStart"/>
      <w:r>
        <w:rPr>
          <w:color w:val="B9770E"/>
        </w:rPr>
        <w:t>fallback</w:t>
      </w:r>
      <w:proofErr w:type="spellEnd"/>
      <w:r>
        <w:rPr>
          <w:color w:val="B9770E"/>
        </w:rPr>
        <w:t xml:space="preserve"> silencioso entre países</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48E0D2F3" w14:textId="77777777">
        <w:tblPrEx>
          <w:tblCellMar>
            <w:top w:w="0" w:type="dxa"/>
            <w:bottom w:w="0" w:type="dxa"/>
          </w:tblCellMar>
        </w:tblPrEx>
        <w:tc>
          <w:tcPr>
            <w:tcW w:w="2200" w:type="dxa"/>
            <w:shd w:val="clear" w:color="auto" w:fill="FDF2E3"/>
            <w:tcMar>
              <w:top w:w="60" w:type="dxa"/>
              <w:left w:w="140" w:type="dxa"/>
              <w:bottom w:w="60" w:type="dxa"/>
              <w:right w:w="140" w:type="dxa"/>
            </w:tcMar>
          </w:tcPr>
          <w:p w14:paraId="5E143923" w14:textId="77777777" w:rsidR="00BF7F94" w:rsidRDefault="00000000">
            <w:pPr>
              <w:jc w:val="center"/>
            </w:pPr>
            <w:r>
              <w:rPr>
                <w:b/>
                <w:bCs/>
                <w:color w:val="B9770E"/>
                <w:sz w:val="18"/>
                <w:szCs w:val="18"/>
              </w:rPr>
              <w:t>ALTA</w:t>
            </w:r>
          </w:p>
        </w:tc>
      </w:tr>
    </w:tbl>
    <w:p w14:paraId="740988F2" w14:textId="77777777" w:rsidR="00BF7F94" w:rsidRDefault="00000000">
      <w:pPr>
        <w:spacing w:after="140"/>
      </w:pPr>
      <w:r>
        <w:rPr>
          <w:b/>
          <w:bCs/>
          <w:color w:val="1E2761"/>
        </w:rPr>
        <w:t xml:space="preserve">Evidencia: </w:t>
      </w:r>
      <w:r>
        <w:t>etl_service.py, _</w:t>
      </w:r>
      <w:proofErr w:type="spellStart"/>
      <w:r>
        <w:t>cargar_</w:t>
      </w:r>
      <w:proofErr w:type="gramStart"/>
      <w:r>
        <w:t>datos</w:t>
      </w:r>
      <w:proofErr w:type="spellEnd"/>
      <w:r>
        <w:t>(</w:t>
      </w:r>
      <w:proofErr w:type="gramEnd"/>
      <w:r>
        <w:t xml:space="preserve">) (·líneas ≈622-628): si no se encuentra el indicador específico del país de la fila, el código busca </w:t>
      </w:r>
      <w:proofErr w:type="spellStart"/>
      <w:proofErr w:type="gramStart"/>
      <w:r>
        <w:t>next</w:t>
      </w:r>
      <w:proofErr w:type="spellEnd"/>
      <w:r>
        <w:t>(</w:t>
      </w:r>
      <w:proofErr w:type="gramEnd"/>
      <w:r>
        <w:t xml:space="preserve">(v </w:t>
      </w:r>
      <w:proofErr w:type="spellStart"/>
      <w:r>
        <w:t>for</w:t>
      </w:r>
      <w:proofErr w:type="spellEnd"/>
      <w:r>
        <w:t xml:space="preserve"> (</w:t>
      </w:r>
      <w:proofErr w:type="spellStart"/>
      <w:proofErr w:type="gramStart"/>
      <w:r>
        <w:t>p,c</w:t>
      </w:r>
      <w:proofErr w:type="spellEnd"/>
      <w:r>
        <w:t>),v</w:t>
      </w:r>
      <w:proofErr w:type="gramEnd"/>
      <w:r>
        <w:t xml:space="preserve"> in </w:t>
      </w:r>
      <w:proofErr w:type="spellStart"/>
      <w:r>
        <w:t>mapa_</w:t>
      </w:r>
      <w:proofErr w:type="gramStart"/>
      <w:r>
        <w:t>ind.items</w:t>
      </w:r>
      <w:proofErr w:type="spellEnd"/>
      <w:proofErr w:type="gramEnd"/>
      <w:r>
        <w:t xml:space="preserve">() </w:t>
      </w:r>
      <w:proofErr w:type="spellStart"/>
      <w:r>
        <w:t>if</w:t>
      </w:r>
      <w:proofErr w:type="spellEnd"/>
      <w:r>
        <w:t xml:space="preserve"> c==</w:t>
      </w:r>
      <w:proofErr w:type="spellStart"/>
      <w:r>
        <w:t>ind_codigo</w:t>
      </w:r>
      <w:proofErr w:type="spellEnd"/>
      <w:r>
        <w:t>), None) — toma el primer indicador homónimo de cualquier país disponible en el mapa.</w:t>
      </w:r>
    </w:p>
    <w:p w14:paraId="2CD78F7F" w14:textId="77777777" w:rsidR="00BF7F94" w:rsidRDefault="00000000">
      <w:pPr>
        <w:spacing w:after="140"/>
      </w:pPr>
      <w:r>
        <w:rPr>
          <w:b/>
          <w:bCs/>
          <w:color w:val="B03A2E"/>
        </w:rPr>
        <w:t xml:space="preserve">Riesgo / impacto: </w:t>
      </w:r>
      <w:r>
        <w:t xml:space="preserve">Un resultado puede terminar puntuado con la tabla de pesos/rangos de un país distinto al que realmente le corresponde, sin generar ninguna advertencia visible — el </w:t>
      </w:r>
      <w:proofErr w:type="spellStart"/>
      <w:r>
        <w:t>job</w:t>
      </w:r>
      <w:proofErr w:type="spellEnd"/>
      <w:r>
        <w:t xml:space="preserve"> de carga puede reportarse como exitoso mientras aplica reglas de negocio de otra operación.</w:t>
      </w:r>
    </w:p>
    <w:p w14:paraId="64A8BE0C" w14:textId="77777777" w:rsidR="00BF7F94" w:rsidRDefault="00000000">
      <w:pPr>
        <w:spacing w:after="140"/>
      </w:pPr>
      <w:r>
        <w:rPr>
          <w:b/>
          <w:bCs/>
          <w:color w:val="1E7145"/>
        </w:rPr>
        <w:t xml:space="preserve">Recomendación: </w:t>
      </w:r>
      <w:r>
        <w:t xml:space="preserve">Eliminar el </w:t>
      </w:r>
      <w:proofErr w:type="spellStart"/>
      <w:r>
        <w:t>fallback</w:t>
      </w:r>
      <w:proofErr w:type="spellEnd"/>
      <w:r>
        <w:t xml:space="preserve"> </w:t>
      </w:r>
      <w:proofErr w:type="spellStart"/>
      <w:r>
        <w:t>cross</w:t>
      </w:r>
      <w:proofErr w:type="spellEnd"/>
      <w:r>
        <w:t>-país. Si no existe el indicador (</w:t>
      </w:r>
      <w:proofErr w:type="spellStart"/>
      <w:r>
        <w:t>pais_id</w:t>
      </w:r>
      <w:proofErr w:type="spellEnd"/>
      <w:r>
        <w:t xml:space="preserve">, </w:t>
      </w:r>
      <w:proofErr w:type="spellStart"/>
      <w:r>
        <w:t>codigo</w:t>
      </w:r>
      <w:proofErr w:type="spellEnd"/>
      <w:r>
        <w:t xml:space="preserve">) específico, la fila debe tratarse como inválida (igual que las filas de RM no encontrado) y quedar registrada en </w:t>
      </w:r>
      <w:proofErr w:type="spellStart"/>
      <w:r>
        <w:t>indices_invalidos</w:t>
      </w:r>
      <w:proofErr w:type="spellEnd"/>
      <w:r>
        <w:t>/</w:t>
      </w:r>
      <w:proofErr w:type="spellStart"/>
      <w:r>
        <w:t>log_advertencias</w:t>
      </w:r>
      <w:proofErr w:type="spellEnd"/>
      <w:r>
        <w:t>, no resolverse con datos de otro país.</w:t>
      </w:r>
    </w:p>
    <w:p w14:paraId="388FB411" w14:textId="77777777" w:rsidR="00BF7F94" w:rsidRDefault="00000000">
      <w:pPr>
        <w:pStyle w:val="Ttulo3"/>
      </w:pPr>
      <w:r>
        <w:rPr>
          <w:color w:val="B9770E"/>
        </w:rPr>
        <w:t xml:space="preserve">Hallazgo F10 — ETL.FACT_KPI_RAW se comporta como caché de última carga, no como </w:t>
      </w:r>
      <w:proofErr w:type="spellStart"/>
      <w:r>
        <w:rPr>
          <w:color w:val="B9770E"/>
        </w:rPr>
        <w:t>staging</w:t>
      </w:r>
      <w:proofErr w:type="spellEnd"/>
      <w:r>
        <w:rPr>
          <w:color w:val="B9770E"/>
        </w:rPr>
        <w:t xml:space="preserve"> histórico auditable</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04B2D671" w14:textId="77777777">
        <w:tblPrEx>
          <w:tblCellMar>
            <w:top w:w="0" w:type="dxa"/>
            <w:bottom w:w="0" w:type="dxa"/>
          </w:tblCellMar>
        </w:tblPrEx>
        <w:tc>
          <w:tcPr>
            <w:tcW w:w="2200" w:type="dxa"/>
            <w:shd w:val="clear" w:color="auto" w:fill="FDF2E3"/>
            <w:tcMar>
              <w:top w:w="60" w:type="dxa"/>
              <w:left w:w="140" w:type="dxa"/>
              <w:bottom w:w="60" w:type="dxa"/>
              <w:right w:w="140" w:type="dxa"/>
            </w:tcMar>
          </w:tcPr>
          <w:p w14:paraId="7BFBC49E" w14:textId="77777777" w:rsidR="00BF7F94" w:rsidRDefault="00000000">
            <w:pPr>
              <w:jc w:val="center"/>
            </w:pPr>
            <w:r>
              <w:rPr>
                <w:b/>
                <w:bCs/>
                <w:color w:val="B9770E"/>
                <w:sz w:val="18"/>
                <w:szCs w:val="18"/>
              </w:rPr>
              <w:t>ALTA</w:t>
            </w:r>
          </w:p>
        </w:tc>
      </w:tr>
    </w:tbl>
    <w:p w14:paraId="5BD95609" w14:textId="77777777" w:rsidR="00BF7F94" w:rsidRDefault="00000000">
      <w:pPr>
        <w:spacing w:after="140"/>
      </w:pPr>
      <w:r>
        <w:rPr>
          <w:b/>
          <w:bCs/>
          <w:color w:val="1E2761"/>
        </w:rPr>
        <w:t xml:space="preserve">Evidencia: </w:t>
      </w:r>
      <w:r>
        <w:t>etl_service.py, _</w:t>
      </w:r>
      <w:proofErr w:type="spellStart"/>
      <w:r>
        <w:t>guardar_staging_</w:t>
      </w:r>
      <w:proofErr w:type="gramStart"/>
      <w:r>
        <w:t>raw</w:t>
      </w:r>
      <w:proofErr w:type="spellEnd"/>
      <w:r>
        <w:t>(</w:t>
      </w:r>
      <w:proofErr w:type="gramEnd"/>
      <w:r>
        <w:t xml:space="preserve">) (·líneas ≈452-510): antes de insertar, borra las filas previas de </w:t>
      </w:r>
      <w:proofErr w:type="spellStart"/>
      <w:r>
        <w:t>KpiRaw</w:t>
      </w:r>
      <w:proofErr w:type="spellEnd"/>
      <w:r>
        <w:t xml:space="preserve"> filtrando solo por ciclo_id.in_(</w:t>
      </w:r>
      <w:proofErr w:type="spellStart"/>
      <w:r>
        <w:t>ciclos_raw</w:t>
      </w:r>
      <w:proofErr w:type="spellEnd"/>
      <w:r>
        <w:t xml:space="preserve">), sin distinguir de qué </w:t>
      </w:r>
      <w:proofErr w:type="spellStart"/>
      <w:r>
        <w:t>carga_id</w:t>
      </w:r>
      <w:proofErr w:type="spellEnd"/>
      <w:r>
        <w:t xml:space="preserve"> provinieron (≈líneas 469-472).</w:t>
      </w:r>
    </w:p>
    <w:p w14:paraId="3BC67ED2" w14:textId="77777777" w:rsidR="00BF7F94" w:rsidRDefault="00000000">
      <w:pPr>
        <w:spacing w:after="140"/>
      </w:pPr>
      <w:r>
        <w:rPr>
          <w:b/>
          <w:bCs/>
          <w:color w:val="B03A2E"/>
        </w:rPr>
        <w:t xml:space="preserve">Riesgo / impacto: </w:t>
      </w:r>
      <w:r>
        <w:t xml:space="preserve">Contradice el propósito declarado de una tabla de </w:t>
      </w:r>
      <w:proofErr w:type="spellStart"/>
      <w:r>
        <w:t>staging</w:t>
      </w:r>
      <w:proofErr w:type="spellEnd"/>
      <w:r>
        <w:t xml:space="preserve"> (servir de rastro auditable de los datos crudos recibidos): una segunda carga sobre el mismo ciclo borra el rastro de la primera. No hay manera de reconstruir qué trajo exactamente cada carga individual una vez que otra carga del mismo ciclo la sobrescribe —lo cual es relevante justo en el escenario de auditoría o disputa de datos donde esta tabla sería más necesaria.</w:t>
      </w:r>
    </w:p>
    <w:p w14:paraId="48FC192D" w14:textId="77777777" w:rsidR="00BF7F94" w:rsidRDefault="00000000">
      <w:pPr>
        <w:spacing w:after="140"/>
      </w:pPr>
      <w:r>
        <w:rPr>
          <w:b/>
          <w:bCs/>
          <w:color w:val="1E7145"/>
        </w:rPr>
        <w:t xml:space="preserve">Recomendación: </w:t>
      </w:r>
      <w:r>
        <w:t xml:space="preserve">Cambiar el borrado para que filtre también por </w:t>
      </w:r>
      <w:proofErr w:type="spellStart"/>
      <w:r>
        <w:t>carga_id</w:t>
      </w:r>
      <w:proofErr w:type="spellEnd"/>
      <w:r>
        <w:t xml:space="preserve"> (conservando todas las cargas históricas), o —preferible para fines de auditoría— no borrar nunca: marcar las filas previas con un indicador </w:t>
      </w:r>
      <w:proofErr w:type="spellStart"/>
      <w:r>
        <w:t>superseded_by_carga_id</w:t>
      </w:r>
      <w:proofErr w:type="spellEnd"/>
      <w:r>
        <w:t xml:space="preserve"> y conservarlas. Requiere migración para agregar esa columna a ETL.FACT_KPI_RAW.</w:t>
      </w:r>
    </w:p>
    <w:p w14:paraId="0A5EB9DA" w14:textId="77777777" w:rsidR="00BF7F94" w:rsidRDefault="00000000">
      <w:pPr>
        <w:pStyle w:val="Ttulo3"/>
      </w:pPr>
      <w:r>
        <w:rPr>
          <w:color w:val="B9770E"/>
        </w:rPr>
        <w:t>Hallazgo F11 — Filas de RM inválido en la carga KPI_RM se descartan con advertencia, no con error</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5352DF15" w14:textId="77777777">
        <w:tblPrEx>
          <w:tblCellMar>
            <w:top w:w="0" w:type="dxa"/>
            <w:bottom w:w="0" w:type="dxa"/>
          </w:tblCellMar>
        </w:tblPrEx>
        <w:tc>
          <w:tcPr>
            <w:tcW w:w="2200" w:type="dxa"/>
            <w:shd w:val="clear" w:color="auto" w:fill="FDF2E3"/>
            <w:tcMar>
              <w:top w:w="60" w:type="dxa"/>
              <w:left w:w="140" w:type="dxa"/>
              <w:bottom w:w="60" w:type="dxa"/>
              <w:right w:w="140" w:type="dxa"/>
            </w:tcMar>
          </w:tcPr>
          <w:p w14:paraId="6F0CA640" w14:textId="77777777" w:rsidR="00BF7F94" w:rsidRDefault="00000000">
            <w:pPr>
              <w:jc w:val="center"/>
            </w:pPr>
            <w:r>
              <w:rPr>
                <w:b/>
                <w:bCs/>
                <w:color w:val="B9770E"/>
                <w:sz w:val="18"/>
                <w:szCs w:val="18"/>
              </w:rPr>
              <w:t>ALTA</w:t>
            </w:r>
          </w:p>
        </w:tc>
      </w:tr>
    </w:tbl>
    <w:p w14:paraId="2D450FF5" w14:textId="77777777" w:rsidR="00BF7F94" w:rsidRDefault="00000000">
      <w:pPr>
        <w:spacing w:after="140"/>
      </w:pPr>
      <w:r>
        <w:rPr>
          <w:b/>
          <w:bCs/>
          <w:color w:val="1E2761"/>
        </w:rPr>
        <w:t xml:space="preserve">Evidencia: </w:t>
      </w:r>
      <w:r>
        <w:t>etl_service.py, _</w:t>
      </w:r>
      <w:proofErr w:type="spellStart"/>
      <w:r>
        <w:t>validar_y_</w:t>
      </w:r>
      <w:proofErr w:type="gramStart"/>
      <w:r>
        <w:t>enriquecer</w:t>
      </w:r>
      <w:proofErr w:type="spellEnd"/>
      <w:r>
        <w:t>(</w:t>
      </w:r>
      <w:proofErr w:type="gramEnd"/>
      <w:r>
        <w:t xml:space="preserve">) (·líneas ≈352-449): las filas cuyo RM no se encuentra en </w:t>
      </w:r>
      <w:proofErr w:type="spellStart"/>
      <w:r>
        <w:t>mapa_rm</w:t>
      </w:r>
      <w:proofErr w:type="spellEnd"/>
      <w:r>
        <w:t xml:space="preserve"> se acumulan en </w:t>
      </w:r>
      <w:proofErr w:type="spellStart"/>
      <w:r>
        <w:t>indices_invalidos</w:t>
      </w:r>
      <w:proofErr w:type="spellEnd"/>
      <w:r>
        <w:t xml:space="preserve"> y se eliminan del </w:t>
      </w:r>
      <w:proofErr w:type="spellStart"/>
      <w:r>
        <w:t>DataFrame</w:t>
      </w:r>
      <w:proofErr w:type="spellEnd"/>
      <w:r>
        <w:t xml:space="preserve"> (</w:t>
      </w:r>
      <w:proofErr w:type="spellStart"/>
      <w:proofErr w:type="gramStart"/>
      <w:r>
        <w:t>df.drop</w:t>
      </w:r>
      <w:proofErr w:type="spellEnd"/>
      <w:proofErr w:type="gramEnd"/>
      <w:r>
        <w:t>(</w:t>
      </w:r>
      <w:proofErr w:type="spellStart"/>
      <w:r>
        <w:t>index</w:t>
      </w:r>
      <w:proofErr w:type="spellEnd"/>
      <w:r>
        <w:t>=</w:t>
      </w:r>
      <w:proofErr w:type="spellStart"/>
      <w:r>
        <w:t>indices_invalidos</w:t>
      </w:r>
      <w:proofErr w:type="spellEnd"/>
      <w:r>
        <w:t xml:space="preserve">), línea ≈439); el </w:t>
      </w:r>
      <w:proofErr w:type="spellStart"/>
      <w:r>
        <w:t>job</w:t>
      </w:r>
      <w:proofErr w:type="spellEnd"/>
      <w:r>
        <w:t xml:space="preserve"> de carga puede terminar en estado EXITOSO de todas formas.</w:t>
      </w:r>
    </w:p>
    <w:p w14:paraId="4D81EFFD" w14:textId="77777777" w:rsidR="00BF7F94" w:rsidRDefault="00000000">
      <w:pPr>
        <w:spacing w:after="140"/>
      </w:pPr>
      <w:r>
        <w:rPr>
          <w:b/>
          <w:bCs/>
          <w:color w:val="B03A2E"/>
        </w:rPr>
        <w:t xml:space="preserve">Riesgo / impacto: </w:t>
      </w:r>
      <w:r>
        <w:t xml:space="preserve">Pérdida silenciosa de datos de desempeño: el indicador de éxito del </w:t>
      </w:r>
      <w:proofErr w:type="spellStart"/>
      <w:r>
        <w:t>job</w:t>
      </w:r>
      <w:proofErr w:type="spellEnd"/>
      <w:r>
        <w:t xml:space="preserve"> (“EXITOSO”) no refleja que parte de los datos del archivo no se cargaron. Solo es visible revisando manualmente </w:t>
      </w:r>
      <w:proofErr w:type="spellStart"/>
      <w:r>
        <w:t>log_advertencias</w:t>
      </w:r>
      <w:proofErr w:type="spellEnd"/>
      <w:r>
        <w:t xml:space="preserve"> en el detalle del </w:t>
      </w:r>
      <w:proofErr w:type="spellStart"/>
      <w:r>
        <w:t>job</w:t>
      </w:r>
      <w:proofErr w:type="spellEnd"/>
      <w:r>
        <w:t>, algo que en la práctica no siempre ocurre tras una carga rutinaria.</w:t>
      </w:r>
    </w:p>
    <w:p w14:paraId="0CE0896A" w14:textId="77777777" w:rsidR="00BF7F94" w:rsidRDefault="00000000">
      <w:pPr>
        <w:spacing w:after="140"/>
      </w:pPr>
      <w:r>
        <w:rPr>
          <w:b/>
          <w:bCs/>
          <w:color w:val="1E7145"/>
        </w:rPr>
        <w:t xml:space="preserve">Recomendación: </w:t>
      </w:r>
      <w:r>
        <w:t>Exponer de forma prominente, en la respuesta de GET /</w:t>
      </w:r>
      <w:proofErr w:type="spellStart"/>
      <w:r>
        <w:t>etl</w:t>
      </w:r>
      <w:proofErr w:type="spellEnd"/>
      <w:r>
        <w:t>/</w:t>
      </w:r>
      <w:proofErr w:type="gramStart"/>
      <w:r>
        <w:t>status</w:t>
      </w:r>
      <w:proofErr w:type="gramEnd"/>
      <w:r>
        <w:t>/{</w:t>
      </w:r>
      <w:proofErr w:type="spellStart"/>
      <w:r>
        <w:t>job_id</w:t>
      </w:r>
      <w:proofErr w:type="spellEnd"/>
      <w:r>
        <w:t>} (no solo en el log textual), el conteo de filas descartadas y su motivo. Evaluar agregar un modo de carga estricto opcional que aborte la carga completa si el porcentaje de filas inválidas supera un umbral configurable, en vez de cargar parcialmente sin que nadie lo note.</w:t>
      </w:r>
    </w:p>
    <w:p w14:paraId="1D046C72" w14:textId="77777777" w:rsidR="00BF7F94" w:rsidRDefault="00000000">
      <w:pPr>
        <w:pStyle w:val="Ttulo2"/>
      </w:pPr>
      <w:r>
        <w:lastRenderedPageBreak/>
        <w:t>4.3 Severidad Media</w:t>
      </w:r>
    </w:p>
    <w:p w14:paraId="4DC10916" w14:textId="77777777" w:rsidR="00BF7F94" w:rsidRDefault="00000000">
      <w:pPr>
        <w:pStyle w:val="Ttulo3"/>
      </w:pPr>
      <w:r>
        <w:rPr>
          <w:color w:val="7D6608"/>
        </w:rPr>
        <w:t xml:space="preserve">Hallazgo F8 — Traducción de nombres de hoja </w:t>
      </w:r>
      <w:proofErr w:type="spellStart"/>
      <w:r>
        <w:rPr>
          <w:color w:val="7D6608"/>
        </w:rPr>
        <w:t>Excel→tabla</w:t>
      </w:r>
      <w:proofErr w:type="spellEnd"/>
      <w:r>
        <w:rPr>
          <w:color w:val="7D6608"/>
        </w:rPr>
        <w:t xml:space="preserve"> vía diccionario </w:t>
      </w:r>
      <w:proofErr w:type="spellStart"/>
      <w:r>
        <w:rPr>
          <w:color w:val="7D6608"/>
        </w:rPr>
        <w:t>hardcodeado</w:t>
      </w:r>
      <w:proofErr w:type="spellEnd"/>
      <w:r>
        <w:rPr>
          <w:color w:val="7D6608"/>
        </w:rPr>
        <w:t>, sin capa de configuración</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1C80E1C5" w14:textId="77777777">
        <w:tblPrEx>
          <w:tblCellMar>
            <w:top w:w="0" w:type="dxa"/>
            <w:bottom w:w="0" w:type="dxa"/>
          </w:tblCellMar>
        </w:tblPrEx>
        <w:tc>
          <w:tcPr>
            <w:tcW w:w="2200" w:type="dxa"/>
            <w:shd w:val="clear" w:color="auto" w:fill="FBF3D9"/>
            <w:tcMar>
              <w:top w:w="60" w:type="dxa"/>
              <w:left w:w="140" w:type="dxa"/>
              <w:bottom w:w="60" w:type="dxa"/>
              <w:right w:w="140" w:type="dxa"/>
            </w:tcMar>
          </w:tcPr>
          <w:p w14:paraId="01866943" w14:textId="77777777" w:rsidR="00BF7F94" w:rsidRDefault="00000000">
            <w:pPr>
              <w:jc w:val="center"/>
            </w:pPr>
            <w:r>
              <w:rPr>
                <w:b/>
                <w:bCs/>
                <w:color w:val="7D6608"/>
                <w:sz w:val="18"/>
                <w:szCs w:val="18"/>
              </w:rPr>
              <w:t>MEDIA</w:t>
            </w:r>
          </w:p>
        </w:tc>
      </w:tr>
    </w:tbl>
    <w:p w14:paraId="1761FF6A" w14:textId="77777777" w:rsidR="00BF7F94" w:rsidRDefault="00000000">
      <w:pPr>
        <w:spacing w:after="140"/>
      </w:pPr>
      <w:r>
        <w:rPr>
          <w:b/>
          <w:bCs/>
          <w:color w:val="1E2761"/>
        </w:rPr>
        <w:t xml:space="preserve">Evidencia: </w:t>
      </w:r>
      <w:r>
        <w:t>dims.py define HOJAS_CONOCIDAS y ALIAS como diccionarios Python en el código fuente (·líneas 48-85), mapeando tanto nombres “de sistema” (DIM_GERENTE, DIM_RM) como alias de Excel (DIM_GERENTE_DISTRITO, DIM_REPRESENTANTE_MEDICO, DIM_TIEMPO, 4 variantes de TABLAS_RM) hacia el manejador interno correspondiente.</w:t>
      </w:r>
    </w:p>
    <w:p w14:paraId="25903101" w14:textId="77777777" w:rsidR="00BF7F94" w:rsidRDefault="00000000">
      <w:pPr>
        <w:spacing w:after="140"/>
      </w:pPr>
      <w:r>
        <w:rPr>
          <w:b/>
          <w:bCs/>
          <w:color w:val="B03A2E"/>
        </w:rPr>
        <w:t xml:space="preserve">Riesgo / impacto: </w:t>
      </w:r>
      <w:r>
        <w:t>Es un diseño que sí funciona y tolera variaciones de nombre conocidas —no es un riesgo de falla dura—, pero cada variante nueva que llegue de un país o cliente nuevo (un nombre de hoja que hoy no está en el diccionario) requiere un despliegue de código para ser reconocida, en lugar de una configuración editable. Es un riesgo de gobernanza/mantenibilidad, no de integridad de datos.</w:t>
      </w:r>
    </w:p>
    <w:p w14:paraId="27B4CAFE" w14:textId="77777777" w:rsidR="00BF7F94" w:rsidRDefault="00000000">
      <w:pPr>
        <w:spacing w:after="140"/>
      </w:pPr>
      <w:r>
        <w:rPr>
          <w:b/>
          <w:bCs/>
          <w:color w:val="1E7145"/>
        </w:rPr>
        <w:t xml:space="preserve">Recomendación: </w:t>
      </w:r>
      <w:r>
        <w:t xml:space="preserve">Extraer HOJAS_CONOCIDAS/ALIAS a una tabla de configuración editable (p. ej. </w:t>
      </w:r>
      <w:proofErr w:type="spellStart"/>
      <w:r>
        <w:t>Config.DIM_MapeoHojaExcel</w:t>
      </w:r>
      <w:proofErr w:type="spellEnd"/>
      <w:r>
        <w:t>), manteniendo el diccionario actual como semilla/</w:t>
      </w:r>
      <w:proofErr w:type="spellStart"/>
      <w:r>
        <w:t>fallback</w:t>
      </w:r>
      <w:proofErr w:type="spellEnd"/>
      <w:r>
        <w:t>. Permite a un ADMIN registrar una nueva variante de nombre sin pasar por un ciclo de despliegue.</w:t>
      </w:r>
    </w:p>
    <w:p w14:paraId="5DDC4960" w14:textId="77777777" w:rsidR="00BF7F94" w:rsidRDefault="00000000">
      <w:pPr>
        <w:pStyle w:val="Ttulo3"/>
      </w:pPr>
      <w:r>
        <w:rPr>
          <w:color w:val="7D6608"/>
        </w:rPr>
        <w:t xml:space="preserve">Hallazgo F12 — Resolución de médico en Categorización por igualdad exacta de </w:t>
      </w:r>
      <w:proofErr w:type="spellStart"/>
      <w:r>
        <w:rPr>
          <w:color w:val="7D6608"/>
        </w:rPr>
        <w:t>string</w:t>
      </w:r>
      <w:proofErr w:type="spellEnd"/>
      <w:r>
        <w:rPr>
          <w:color w:val="7D6608"/>
        </w:rPr>
        <w:t>, sin normalización</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4D969F99" w14:textId="77777777">
        <w:tblPrEx>
          <w:tblCellMar>
            <w:top w:w="0" w:type="dxa"/>
            <w:bottom w:w="0" w:type="dxa"/>
          </w:tblCellMar>
        </w:tblPrEx>
        <w:tc>
          <w:tcPr>
            <w:tcW w:w="2200" w:type="dxa"/>
            <w:shd w:val="clear" w:color="auto" w:fill="FBF3D9"/>
            <w:tcMar>
              <w:top w:w="60" w:type="dxa"/>
              <w:left w:w="140" w:type="dxa"/>
              <w:bottom w:w="60" w:type="dxa"/>
              <w:right w:w="140" w:type="dxa"/>
            </w:tcMar>
          </w:tcPr>
          <w:p w14:paraId="66F7DAED" w14:textId="77777777" w:rsidR="00BF7F94" w:rsidRDefault="00000000">
            <w:pPr>
              <w:jc w:val="center"/>
            </w:pPr>
            <w:r>
              <w:rPr>
                <w:b/>
                <w:bCs/>
                <w:color w:val="7D6608"/>
                <w:sz w:val="18"/>
                <w:szCs w:val="18"/>
              </w:rPr>
              <w:t>MEDIA</w:t>
            </w:r>
          </w:p>
        </w:tc>
      </w:tr>
    </w:tbl>
    <w:p w14:paraId="267580D5" w14:textId="77777777" w:rsidR="00BF7F94" w:rsidRDefault="00000000">
      <w:pPr>
        <w:spacing w:after="140"/>
      </w:pPr>
      <w:r>
        <w:rPr>
          <w:b/>
          <w:bCs/>
          <w:color w:val="1E2761"/>
        </w:rPr>
        <w:t xml:space="preserve">Evidencia: </w:t>
      </w:r>
      <w:r>
        <w:t xml:space="preserve">categorizacion_service.py, </w:t>
      </w:r>
      <w:proofErr w:type="spellStart"/>
      <w:r>
        <w:t>resolver_</w:t>
      </w:r>
      <w:proofErr w:type="gramStart"/>
      <w:r>
        <w:t>medico</w:t>
      </w:r>
      <w:proofErr w:type="spellEnd"/>
      <w:r>
        <w:t>(</w:t>
      </w:r>
      <w:proofErr w:type="gramEnd"/>
      <w:r>
        <w:t xml:space="preserve">) (·líneas ≈285-345): el match se hace con </w:t>
      </w:r>
      <w:proofErr w:type="spellStart"/>
      <w:r>
        <w:t>Medico.nombre</w:t>
      </w:r>
      <w:proofErr w:type="spellEnd"/>
      <w:r>
        <w:t xml:space="preserve"> == nombre (·línea 305), igualdad exacta. </w:t>
      </w:r>
      <w:proofErr w:type="spellStart"/>
      <w:r>
        <w:t>codigo</w:t>
      </w:r>
      <w:proofErr w:type="spellEnd"/>
      <w:r>
        <w:t xml:space="preserve">, cedula y email solo se usan para completar datos faltantes en un registro ya emparejado (·líneas 326-331) — nunca como criterio de búsqueda. El propio </w:t>
      </w:r>
      <w:proofErr w:type="spellStart"/>
      <w:r>
        <w:t>docstring</w:t>
      </w:r>
      <w:proofErr w:type="spellEnd"/>
      <w:r>
        <w:t xml:space="preserve"> del método reconoce explícitamente que “no existe un código de médico estable en el Excel de origen de producción”.</w:t>
      </w:r>
    </w:p>
    <w:p w14:paraId="04DC3377" w14:textId="77777777" w:rsidR="00BF7F94" w:rsidRDefault="00000000">
      <w:pPr>
        <w:spacing w:after="140"/>
      </w:pPr>
      <w:r>
        <w:rPr>
          <w:b/>
          <w:bCs/>
          <w:color w:val="B03A2E"/>
        </w:rPr>
        <w:t xml:space="preserve">Riesgo / impacto: </w:t>
      </w:r>
      <w:r>
        <w:t xml:space="preserve">Variaciones de acentuación, mayúsculas/minúsculas, espacios extra u orden de nombre y apellido generan médicos duplicados en </w:t>
      </w:r>
      <w:proofErr w:type="spellStart"/>
      <w:r>
        <w:t>DIM_Medico</w:t>
      </w:r>
      <w:proofErr w:type="spellEnd"/>
      <w:r>
        <w:t xml:space="preserve"> en lugar de reconciliarse con el registro existente — inflando el maestro de médicos y fragmentando el historial de categorización de una misma persona en varias filas.</w:t>
      </w:r>
    </w:p>
    <w:p w14:paraId="0EAF05AB" w14:textId="77777777" w:rsidR="00BF7F94" w:rsidRDefault="00000000">
      <w:pPr>
        <w:spacing w:after="140"/>
      </w:pPr>
      <w:r>
        <w:rPr>
          <w:b/>
          <w:bCs/>
          <w:color w:val="1E7145"/>
        </w:rPr>
        <w:t xml:space="preserve">Recomendación: </w:t>
      </w:r>
      <w:r>
        <w:t xml:space="preserve">Normalizar (mayúsculas/minúsculas, acentos, espacios) antes de comparar nombre en </w:t>
      </w:r>
      <w:proofErr w:type="spellStart"/>
      <w:r>
        <w:t>resolver_</w:t>
      </w:r>
      <w:proofErr w:type="gramStart"/>
      <w:r>
        <w:t>medico</w:t>
      </w:r>
      <w:proofErr w:type="spellEnd"/>
      <w:r>
        <w:t>(</w:t>
      </w:r>
      <w:proofErr w:type="gramEnd"/>
      <w:r>
        <w:t xml:space="preserve">). Promover </w:t>
      </w:r>
      <w:proofErr w:type="spellStart"/>
      <w:r>
        <w:t>codigo</w:t>
      </w:r>
      <w:proofErr w:type="spellEnd"/>
      <w:r>
        <w:t>/cedula a criterio de búsqueda prioritario cuando estén presentes en la fila del Excel, recurriendo al match por nombre normalizado solo como último recurso.</w:t>
      </w:r>
    </w:p>
    <w:p w14:paraId="6B7935C1" w14:textId="77777777" w:rsidR="00BF7F94" w:rsidRDefault="00000000">
      <w:pPr>
        <w:pStyle w:val="Ttulo3"/>
      </w:pPr>
      <w:r>
        <w:rPr>
          <w:color w:val="7D6608"/>
        </w:rPr>
        <w:t xml:space="preserve">Hallazgo F13 — </w:t>
      </w:r>
      <w:proofErr w:type="spellStart"/>
      <w:r>
        <w:rPr>
          <w:color w:val="7D6608"/>
        </w:rPr>
        <w:t>Logging</w:t>
      </w:r>
      <w:proofErr w:type="spellEnd"/>
      <w:r>
        <w:rPr>
          <w:color w:val="7D6608"/>
        </w:rPr>
        <w:t xml:space="preserve"> de depuración (“DEBUG”) activo en rutas de producción del ETL</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181AF70B" w14:textId="77777777">
        <w:tblPrEx>
          <w:tblCellMar>
            <w:top w:w="0" w:type="dxa"/>
            <w:bottom w:w="0" w:type="dxa"/>
          </w:tblCellMar>
        </w:tblPrEx>
        <w:tc>
          <w:tcPr>
            <w:tcW w:w="2200" w:type="dxa"/>
            <w:shd w:val="clear" w:color="auto" w:fill="FBF3D9"/>
            <w:tcMar>
              <w:top w:w="60" w:type="dxa"/>
              <w:left w:w="140" w:type="dxa"/>
              <w:bottom w:w="60" w:type="dxa"/>
              <w:right w:w="140" w:type="dxa"/>
            </w:tcMar>
          </w:tcPr>
          <w:p w14:paraId="241015A4" w14:textId="77777777" w:rsidR="00BF7F94" w:rsidRDefault="00000000">
            <w:pPr>
              <w:jc w:val="center"/>
            </w:pPr>
            <w:r>
              <w:rPr>
                <w:b/>
                <w:bCs/>
                <w:color w:val="7D6608"/>
                <w:sz w:val="18"/>
                <w:szCs w:val="18"/>
              </w:rPr>
              <w:t>MEDIA</w:t>
            </w:r>
          </w:p>
        </w:tc>
      </w:tr>
    </w:tbl>
    <w:p w14:paraId="5D8418E4" w14:textId="77777777" w:rsidR="00BF7F94" w:rsidRDefault="00000000">
      <w:pPr>
        <w:spacing w:after="140"/>
      </w:pPr>
      <w:r>
        <w:rPr>
          <w:b/>
          <w:bCs/>
          <w:color w:val="1E2761"/>
        </w:rPr>
        <w:t xml:space="preserve">Evidencia: </w:t>
      </w:r>
      <w:r>
        <w:t>etl_service.py contiene múltiples llamadas logger.info/</w:t>
      </w:r>
      <w:proofErr w:type="spellStart"/>
      <w:r>
        <w:t>logger.error</w:t>
      </w:r>
      <w:proofErr w:type="spellEnd"/>
      <w:r>
        <w:t xml:space="preserve"> con texto literal “DEBUG” en el mensaje (p. ej. ·línea 602: “ETL _</w:t>
      </w:r>
      <w:proofErr w:type="spellStart"/>
      <w:r>
        <w:t>cargar_datos</w:t>
      </w:r>
      <w:proofErr w:type="spellEnd"/>
      <w:r>
        <w:t xml:space="preserve"> DEBUG: </w:t>
      </w:r>
      <w:proofErr w:type="spellStart"/>
      <w:r>
        <w:t>mapa_ind</w:t>
      </w:r>
      <w:proofErr w:type="spellEnd"/>
      <w:r>
        <w:t xml:space="preserve"> </w:t>
      </w:r>
      <w:proofErr w:type="spellStart"/>
      <w:r>
        <w:t>keys</w:t>
      </w:r>
      <w:proofErr w:type="spellEnd"/>
      <w:r>
        <w:t xml:space="preserve">…”; ·línea 631: “ETL DEBUG primer error…”; ·línea 775: “ETL DEBUG </w:t>
      </w:r>
      <w:proofErr w:type="spellStart"/>
      <w:r>
        <w:t>KeyError</w:t>
      </w:r>
      <w:proofErr w:type="spellEnd"/>
      <w:r>
        <w:t xml:space="preserve"> primer error…”).</w:t>
      </w:r>
    </w:p>
    <w:p w14:paraId="2FBBD000" w14:textId="77777777" w:rsidR="00BF7F94" w:rsidRDefault="00000000">
      <w:pPr>
        <w:spacing w:after="140"/>
      </w:pPr>
      <w:r>
        <w:rPr>
          <w:b/>
          <w:bCs/>
          <w:color w:val="B03A2E"/>
        </w:rPr>
        <w:t xml:space="preserve">Riesgo / impacto: </w:t>
      </w:r>
      <w:r>
        <w:t xml:space="preserve">Bajo, pero ruido operativo: estos mensajes terminan en logs/scgcpr.log en producción, dificultando distinguir </w:t>
      </w:r>
      <w:proofErr w:type="spellStart"/>
      <w:r>
        <w:t>logging</w:t>
      </w:r>
      <w:proofErr w:type="spellEnd"/>
      <w:r>
        <w:t xml:space="preserve"> intencional de restos de depuración puntual, y son consistentes con un patrón de “parcheo reactivo” ya observado en el historial de migraciones.</w:t>
      </w:r>
    </w:p>
    <w:p w14:paraId="53275C6D" w14:textId="77777777" w:rsidR="00BF7F94" w:rsidRDefault="00000000">
      <w:pPr>
        <w:spacing w:after="140"/>
      </w:pPr>
      <w:r>
        <w:rPr>
          <w:b/>
          <w:bCs/>
          <w:color w:val="1E7145"/>
        </w:rPr>
        <w:t xml:space="preserve">Recomendación: </w:t>
      </w:r>
      <w:r>
        <w:t xml:space="preserve">Limpiar o degradar a nivel </w:t>
      </w:r>
      <w:proofErr w:type="spellStart"/>
      <w:proofErr w:type="gramStart"/>
      <w:r>
        <w:t>logger.debug</w:t>
      </w:r>
      <w:proofErr w:type="spellEnd"/>
      <w:proofErr w:type="gramEnd"/>
      <w:r>
        <w:t>() (con DEBUG nunca visible en LOG_LEVEL=INFO de producción, ver CLAUDE.md §18) las llamadas identificadas en etl_service.py.</w:t>
      </w:r>
    </w:p>
    <w:p w14:paraId="2811A5EE" w14:textId="77777777" w:rsidR="00BF7F94" w:rsidRDefault="00000000">
      <w:pPr>
        <w:pStyle w:val="Ttulo3"/>
      </w:pPr>
      <w:r>
        <w:rPr>
          <w:color w:val="7D6608"/>
        </w:rPr>
        <w:t>Hallazgo F14 — Proliferación de archivos Excel de entrada sin convención de versionado</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427B3081" w14:textId="77777777">
        <w:tblPrEx>
          <w:tblCellMar>
            <w:top w:w="0" w:type="dxa"/>
            <w:bottom w:w="0" w:type="dxa"/>
          </w:tblCellMar>
        </w:tblPrEx>
        <w:tc>
          <w:tcPr>
            <w:tcW w:w="2200" w:type="dxa"/>
            <w:shd w:val="clear" w:color="auto" w:fill="FBF3D9"/>
            <w:tcMar>
              <w:top w:w="60" w:type="dxa"/>
              <w:left w:w="140" w:type="dxa"/>
              <w:bottom w:w="60" w:type="dxa"/>
              <w:right w:w="140" w:type="dxa"/>
            </w:tcMar>
          </w:tcPr>
          <w:p w14:paraId="48175741" w14:textId="77777777" w:rsidR="00BF7F94" w:rsidRDefault="00000000">
            <w:pPr>
              <w:jc w:val="center"/>
            </w:pPr>
            <w:r>
              <w:rPr>
                <w:b/>
                <w:bCs/>
                <w:color w:val="7D6608"/>
                <w:sz w:val="18"/>
                <w:szCs w:val="18"/>
              </w:rPr>
              <w:lastRenderedPageBreak/>
              <w:t>MEDIA</w:t>
            </w:r>
          </w:p>
        </w:tc>
      </w:tr>
    </w:tbl>
    <w:p w14:paraId="0B00A12E" w14:textId="77777777" w:rsidR="00BF7F94" w:rsidRDefault="00000000">
      <w:pPr>
        <w:spacing w:after="140"/>
      </w:pPr>
      <w:r>
        <w:rPr>
          <w:b/>
          <w:bCs/>
          <w:color w:val="1E2761"/>
        </w:rPr>
        <w:t xml:space="preserve">Evidencia: </w:t>
      </w:r>
      <w:r>
        <w:t xml:space="preserve">DIMS_FACTS_V2/ contiene archivos como DIM_MIP_FINAL.xlsx y FACT_MIP_FINAL.xlsx, y el propio </w:t>
      </w:r>
      <w:proofErr w:type="spellStart"/>
      <w:r>
        <w:t>fix</w:t>
      </w:r>
      <w:proofErr w:type="spellEnd"/>
      <w:r>
        <w:t xml:space="preserve"> de _</w:t>
      </w:r>
      <w:proofErr w:type="spellStart"/>
      <w:r>
        <w:t>detectar_hoja_</w:t>
      </w:r>
      <w:proofErr w:type="gramStart"/>
      <w:r>
        <w:t>datos</w:t>
      </w:r>
      <w:proofErr w:type="spellEnd"/>
      <w:r>
        <w:t>(</w:t>
      </w:r>
      <w:proofErr w:type="gramEnd"/>
      <w:r>
        <w:t>) (etl_service.py ·líneas 284-325) existe porque en la práctica han circulado variantes como “FACT_KPI_RM_VF.xlsx” que el nombre exacto no captura.</w:t>
      </w:r>
    </w:p>
    <w:p w14:paraId="32340CCC" w14:textId="77777777" w:rsidR="00BF7F94" w:rsidRDefault="00000000">
      <w:pPr>
        <w:spacing w:after="140"/>
      </w:pPr>
      <w:r>
        <w:rPr>
          <w:b/>
          <w:bCs/>
          <w:color w:val="B03A2E"/>
        </w:rPr>
        <w:t xml:space="preserve">Riesgo / impacto: </w:t>
      </w:r>
      <w:r>
        <w:t xml:space="preserve">La detección por firma de columnas mitiga el riesgo de falla dura, pero no resuelve la pregunta de gobernanza: qué versión de qué archivo alimentó cada carga, más allá del nombre de archivo libre que queda registrado en </w:t>
      </w:r>
      <w:proofErr w:type="spellStart"/>
      <w:r>
        <w:t>FACT_CargaExcel.nombre_archivo</w:t>
      </w:r>
      <w:proofErr w:type="spellEnd"/>
      <w:r>
        <w:t>.</w:t>
      </w:r>
    </w:p>
    <w:p w14:paraId="11DBB299" w14:textId="77777777" w:rsidR="00BF7F94" w:rsidRDefault="00000000">
      <w:pPr>
        <w:spacing w:after="140"/>
      </w:pPr>
      <w:r>
        <w:rPr>
          <w:b/>
          <w:bCs/>
          <w:color w:val="1E7145"/>
        </w:rPr>
        <w:t xml:space="preserve">Recomendación: </w:t>
      </w:r>
      <w:r>
        <w:t xml:space="preserve">Adoptar una convención de nombre/versión para los archivos fuente (p. ej. sufijo de fecha + hash de contenido) y registrar ese hash en </w:t>
      </w:r>
      <w:proofErr w:type="spellStart"/>
      <w:r>
        <w:t>FACT_CargaExcel</w:t>
      </w:r>
      <w:proofErr w:type="spellEnd"/>
      <w:r>
        <w:t xml:space="preserve">, de forma que dos archivos con el mismo </w:t>
      </w:r>
      <w:proofErr w:type="gramStart"/>
      <w:r>
        <w:t>nombre</w:t>
      </w:r>
      <w:proofErr w:type="gramEnd"/>
      <w:r>
        <w:t xml:space="preserve"> pero contenido distinto sean distinguibles en el historial de cargas.</w:t>
      </w:r>
    </w:p>
    <w:p w14:paraId="345F4BCF" w14:textId="77777777" w:rsidR="00BF7F94" w:rsidRDefault="00000000">
      <w:pPr>
        <w:pStyle w:val="Ttulo3"/>
      </w:pPr>
      <w:r>
        <w:rPr>
          <w:color w:val="7D6608"/>
        </w:rPr>
        <w:t>Hallazgo F16 — Tres convenciones de nombres conviven sin estándar documentado para integraciones nuevas</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6901B18E" w14:textId="77777777">
        <w:tblPrEx>
          <w:tblCellMar>
            <w:top w:w="0" w:type="dxa"/>
            <w:bottom w:w="0" w:type="dxa"/>
          </w:tblCellMar>
        </w:tblPrEx>
        <w:tc>
          <w:tcPr>
            <w:tcW w:w="2200" w:type="dxa"/>
            <w:shd w:val="clear" w:color="auto" w:fill="FBF3D9"/>
            <w:tcMar>
              <w:top w:w="60" w:type="dxa"/>
              <w:left w:w="140" w:type="dxa"/>
              <w:bottom w:w="60" w:type="dxa"/>
              <w:right w:w="140" w:type="dxa"/>
            </w:tcMar>
          </w:tcPr>
          <w:p w14:paraId="46EC0ED4" w14:textId="77777777" w:rsidR="00BF7F94" w:rsidRDefault="00000000">
            <w:pPr>
              <w:jc w:val="center"/>
            </w:pPr>
            <w:r>
              <w:rPr>
                <w:b/>
                <w:bCs/>
                <w:color w:val="7D6608"/>
                <w:sz w:val="18"/>
                <w:szCs w:val="18"/>
              </w:rPr>
              <w:t>MEDIA</w:t>
            </w:r>
          </w:p>
        </w:tc>
      </w:tr>
    </w:tbl>
    <w:p w14:paraId="01058CED" w14:textId="77777777" w:rsidR="00BF7F94" w:rsidRDefault="00000000">
      <w:pPr>
        <w:spacing w:after="140"/>
      </w:pPr>
      <w:r>
        <w:rPr>
          <w:b/>
          <w:bCs/>
          <w:color w:val="1E2761"/>
        </w:rPr>
        <w:t xml:space="preserve">Evidencia: </w:t>
      </w:r>
      <w:r>
        <w:t xml:space="preserve">Nombres “de sistema” en mayúsculas con prefijo (DIM_GERENTE), alias de hoja Excel también en </w:t>
      </w:r>
      <w:proofErr w:type="gramStart"/>
      <w:r>
        <w:t>mayúsculas</w:t>
      </w:r>
      <w:proofErr w:type="gramEnd"/>
      <w:r>
        <w:t xml:space="preserve"> pero con sufijo distinto (DIM_GERENTE_DISTRITO), y columnas de la hoja KPI_RM en </w:t>
      </w:r>
      <w:proofErr w:type="spellStart"/>
      <w:r>
        <w:t>snake_case</w:t>
      </w:r>
      <w:proofErr w:type="spellEnd"/>
      <w:r>
        <w:t xml:space="preserve"> minúsculas (</w:t>
      </w:r>
      <w:proofErr w:type="spellStart"/>
      <w:r>
        <w:t>rm_codigo</w:t>
      </w:r>
      <w:proofErr w:type="spellEnd"/>
      <w:r>
        <w:t xml:space="preserve">, </w:t>
      </w:r>
      <w:proofErr w:type="spellStart"/>
      <w:r>
        <w:t>indicador_codigo</w:t>
      </w:r>
      <w:proofErr w:type="spellEnd"/>
      <w:r>
        <w:t>) conviven en el mismo flujo de importación.</w:t>
      </w:r>
    </w:p>
    <w:p w14:paraId="4CFC08A2" w14:textId="77777777" w:rsidR="00BF7F94" w:rsidRDefault="00000000">
      <w:pPr>
        <w:spacing w:after="140"/>
      </w:pPr>
      <w:r>
        <w:rPr>
          <w:b/>
          <w:bCs/>
          <w:color w:val="B03A2E"/>
        </w:rPr>
        <w:t xml:space="preserve">Riesgo / impacto: </w:t>
      </w:r>
      <w:r>
        <w:t>Cada integración nueva (un país, un cliente, un proveedor de datos distinto) debe redescubrir leía el código fuente cuál convención aplica en cada punto de entrada, en lugar de consultar una especificación única.</w:t>
      </w:r>
    </w:p>
    <w:p w14:paraId="7BE412F4" w14:textId="77777777" w:rsidR="00BF7F94" w:rsidRDefault="00000000">
      <w:pPr>
        <w:spacing w:after="140"/>
      </w:pPr>
      <w:r>
        <w:rPr>
          <w:b/>
          <w:bCs/>
          <w:color w:val="1E7145"/>
        </w:rPr>
        <w:t xml:space="preserve">Recomendación: </w:t>
      </w:r>
      <w:r>
        <w:t>Documentar formalmente (no solo en comentarios de código) una “Especificación de Carga” versionada que declare, para cada tipo de archivo aceptado, el nombre/alias de hoja y el nombre/alias de columna esperado — sirviendo de contrato único para integraciones futuras.</w:t>
      </w:r>
    </w:p>
    <w:p w14:paraId="77B819B7" w14:textId="77777777" w:rsidR="00BF7F94" w:rsidRDefault="00000000">
      <w:pPr>
        <w:pStyle w:val="Ttulo2"/>
      </w:pPr>
      <w:r>
        <w:t>4.4 Gobernanza</w:t>
      </w:r>
    </w:p>
    <w:p w14:paraId="6CBF8414" w14:textId="77777777" w:rsidR="00BF7F94" w:rsidRDefault="00000000">
      <w:pPr>
        <w:pStyle w:val="Ttulo3"/>
      </w:pPr>
      <w:r>
        <w:rPr>
          <w:color w:val="566573"/>
        </w:rPr>
        <w:t>Hallazgo F15 — El documento de diseño de la aplicación (MSM.docx) está desincronizado del código real</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BF7F94" w14:paraId="1050AEBA" w14:textId="77777777">
        <w:tblPrEx>
          <w:tblCellMar>
            <w:top w:w="0" w:type="dxa"/>
            <w:bottom w:w="0" w:type="dxa"/>
          </w:tblCellMar>
        </w:tblPrEx>
        <w:tc>
          <w:tcPr>
            <w:tcW w:w="2200" w:type="dxa"/>
            <w:shd w:val="clear" w:color="auto" w:fill="EEF1F2"/>
            <w:tcMar>
              <w:top w:w="60" w:type="dxa"/>
              <w:left w:w="140" w:type="dxa"/>
              <w:bottom w:w="60" w:type="dxa"/>
              <w:right w:w="140" w:type="dxa"/>
            </w:tcMar>
          </w:tcPr>
          <w:p w14:paraId="0A3AE430" w14:textId="77777777" w:rsidR="00BF7F94" w:rsidRDefault="00000000">
            <w:pPr>
              <w:jc w:val="center"/>
            </w:pPr>
            <w:r>
              <w:rPr>
                <w:b/>
                <w:bCs/>
                <w:color w:val="566573"/>
                <w:sz w:val="18"/>
                <w:szCs w:val="18"/>
              </w:rPr>
              <w:t>GOBERNANZA</w:t>
            </w:r>
          </w:p>
        </w:tc>
      </w:tr>
    </w:tbl>
    <w:p w14:paraId="024BCC46" w14:textId="77777777" w:rsidR="00BF7F94" w:rsidRDefault="00000000">
      <w:pPr>
        <w:spacing w:after="140"/>
      </w:pPr>
      <w:r>
        <w:rPr>
          <w:b/>
          <w:bCs/>
          <w:color w:val="1E2761"/>
        </w:rPr>
        <w:t xml:space="preserve">Evidencia: </w:t>
      </w:r>
      <w:r>
        <w:t xml:space="preserve">El modelo documenta </w:t>
      </w:r>
      <w:proofErr w:type="spellStart"/>
      <w:r>
        <w:t>DIM_Indicador.modulo</w:t>
      </w:r>
      <w:proofErr w:type="spellEnd"/>
      <w:r>
        <w:t xml:space="preserve"> con los valores GESTION | RESULTADOS, pero iup_service.py opera en la práctica con PRODUCTIVIDAD | COACHING | CAPACITACION (más COMERCIAL, derivado de otras tablas). Este propio hallazgo (relacionado directamente con F1) solo pudo confirmarse leyendo el código fuente, no el documento de diseño.</w:t>
      </w:r>
    </w:p>
    <w:p w14:paraId="30E83D79" w14:textId="77777777" w:rsidR="00BF7F94" w:rsidRDefault="00000000">
      <w:pPr>
        <w:spacing w:after="140"/>
      </w:pPr>
      <w:r>
        <w:rPr>
          <w:b/>
          <w:bCs/>
          <w:color w:val="B03A2E"/>
        </w:rPr>
        <w:t xml:space="preserve">Riesgo / impacto: </w:t>
      </w:r>
      <w:r>
        <w:t>Si una decisión futura se basa en el documento de diseño en lugar de en el código fuente vigente, puede repetir o agravar exactamente el problema descrito en F1 (asumir que “GESTION” es un valor válido del modelo de Score).</w:t>
      </w:r>
    </w:p>
    <w:p w14:paraId="588B0C98" w14:textId="77777777" w:rsidR="00BF7F94" w:rsidRDefault="00000000">
      <w:pPr>
        <w:spacing w:after="140"/>
      </w:pPr>
      <w:r>
        <w:rPr>
          <w:b/>
          <w:bCs/>
          <w:color w:val="1E7145"/>
        </w:rPr>
        <w:t xml:space="preserve">Recomendación: </w:t>
      </w:r>
      <w:r>
        <w:t>Actualizar MSM.docx para que refleje los valores reales, o formalizar CLAUDE.md (que ya documenta esta discrepancia en su §21) como la única fuente viva de documentación del sistema, citando archivo y línea como evidencia — el mismo estándar aplicado en este informe.</w:t>
      </w:r>
    </w:p>
    <w:p w14:paraId="696F188E" w14:textId="77777777" w:rsidR="00BF7F94" w:rsidRDefault="00000000">
      <w:pPr>
        <w:pStyle w:val="Ttulo1"/>
        <w:pageBreakBefore/>
      </w:pPr>
      <w:r>
        <w:lastRenderedPageBreak/>
        <w:t>5. Propuesta de Corrección — Hoja de Ruta por Fases</w:t>
      </w:r>
    </w:p>
    <w:p w14:paraId="660DEAA8" w14:textId="77777777" w:rsidR="00BF7F94" w:rsidRDefault="00000000">
      <w:pPr>
        <w:spacing w:after="160"/>
      </w:pPr>
      <w:r>
        <w:t xml:space="preserve">La corrección se propone en cuatro fases secuenciales, priorizadas por severidad. Todas las fases respetan las reglas ya establecidas en el proyecto: ningún cambio de esquema se aplica con ALTER TABLE manual — todo pasa por una migración </w:t>
      </w:r>
      <w:proofErr w:type="spellStart"/>
      <w:r>
        <w:t>Alembic</w:t>
      </w:r>
      <w:proofErr w:type="spellEnd"/>
      <w:r>
        <w:t xml:space="preserve"> generada, revisada y versionada (CLAUDE.md §19/§23); </w:t>
      </w:r>
      <w:proofErr w:type="spellStart"/>
      <w:r>
        <w:t>include_schemas</w:t>
      </w:r>
      <w:proofErr w:type="spellEnd"/>
      <w:r>
        <w:t xml:space="preserve">=True en alembic/env.py no se modifica; y todo cambio que afecte la lógica de cálculo de Score/Ranking se acompaña de la actualización del </w:t>
      </w:r>
      <w:proofErr w:type="spellStart"/>
      <w:r>
        <w:t>stored</w:t>
      </w:r>
      <w:proofErr w:type="spellEnd"/>
      <w:r>
        <w:t xml:space="preserve"> </w:t>
      </w:r>
      <w:proofErr w:type="spellStart"/>
      <w:r>
        <w:t>procedure</w:t>
      </w:r>
      <w:proofErr w:type="spellEnd"/>
      <w:r>
        <w:t xml:space="preserve"> correspondiente en el esquema DW, nunca solo del modelo Python.</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1387"/>
        <w:gridCol w:w="4279"/>
        <w:gridCol w:w="2731"/>
      </w:tblGrid>
      <w:tr w:rsidR="00BF7F94" w14:paraId="04D0677A" w14:textId="77777777">
        <w:tblPrEx>
          <w:tblCellMar>
            <w:top w:w="0" w:type="dxa"/>
            <w:bottom w:w="0" w:type="dxa"/>
          </w:tblCellMar>
        </w:tblPrEx>
        <w:tc>
          <w:tcPr>
            <w:tcW w:w="130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3EF01E86" w14:textId="77777777" w:rsidR="00BF7F94" w:rsidRDefault="00000000">
            <w:r>
              <w:rPr>
                <w:b/>
                <w:bCs/>
                <w:color w:val="FFFFFF"/>
                <w:sz w:val="20"/>
                <w:szCs w:val="20"/>
              </w:rPr>
              <w:t>Fase</w:t>
            </w:r>
          </w:p>
        </w:tc>
        <w:tc>
          <w:tcPr>
            <w:tcW w:w="150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1CCFDF50" w14:textId="77777777" w:rsidR="00BF7F94" w:rsidRDefault="00000000">
            <w:r>
              <w:rPr>
                <w:b/>
                <w:bCs/>
                <w:color w:val="FFFFFF"/>
                <w:sz w:val="20"/>
                <w:szCs w:val="20"/>
              </w:rPr>
              <w:t>Hallazgos</w:t>
            </w:r>
          </w:p>
        </w:tc>
        <w:tc>
          <w:tcPr>
            <w:tcW w:w="518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6DB6B15D" w14:textId="77777777" w:rsidR="00BF7F94" w:rsidRDefault="00000000">
            <w:r>
              <w:rPr>
                <w:b/>
                <w:bCs/>
                <w:color w:val="FFFFFF"/>
                <w:sz w:val="20"/>
                <w:szCs w:val="20"/>
              </w:rPr>
              <w:t>Acción propuesta</w:t>
            </w:r>
          </w:p>
        </w:tc>
        <w:tc>
          <w:tcPr>
            <w:tcW w:w="1700" w:type="dxa"/>
            <w:tcBorders>
              <w:top w:val="single" w:sz="2" w:space="0" w:color="D5DBDB"/>
              <w:left w:val="single" w:sz="2" w:space="0" w:color="D5DBDB"/>
              <w:bottom w:val="single" w:sz="2" w:space="0" w:color="D5DBDB"/>
              <w:right w:val="single" w:sz="2" w:space="0" w:color="D5DBDB"/>
            </w:tcBorders>
            <w:shd w:val="clear" w:color="auto" w:fill="1E2761"/>
            <w:tcMar>
              <w:top w:w="100" w:type="dxa"/>
              <w:left w:w="140" w:type="dxa"/>
              <w:bottom w:w="100" w:type="dxa"/>
              <w:right w:w="140" w:type="dxa"/>
            </w:tcMar>
            <w:vAlign w:val="center"/>
          </w:tcPr>
          <w:p w14:paraId="14BF2A8F" w14:textId="77777777" w:rsidR="00BF7F94" w:rsidRDefault="00000000">
            <w:r>
              <w:rPr>
                <w:b/>
                <w:bCs/>
                <w:color w:val="FFFFFF"/>
                <w:sz w:val="20"/>
                <w:szCs w:val="20"/>
              </w:rPr>
              <w:t>Compatibilidad</w:t>
            </w:r>
          </w:p>
        </w:tc>
      </w:tr>
      <w:tr w:rsidR="00BF7F94" w14:paraId="61F429F0" w14:textId="77777777">
        <w:tblPrEx>
          <w:tblCellMar>
            <w:top w:w="0" w:type="dxa"/>
            <w:bottom w:w="0" w:type="dxa"/>
          </w:tblCellMar>
        </w:tblPrEx>
        <w:tc>
          <w:tcPr>
            <w:tcW w:w="13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4A1E5749" w14:textId="77777777" w:rsidR="00BF7F94" w:rsidRDefault="00000000">
            <w:r>
              <w:rPr>
                <w:b/>
                <w:bCs/>
                <w:sz w:val="19"/>
                <w:szCs w:val="19"/>
              </w:rPr>
              <w:t>Fase 1 — Crítica</w:t>
            </w:r>
          </w:p>
        </w:tc>
        <w:tc>
          <w:tcPr>
            <w:tcW w:w="15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09076C8E" w14:textId="77777777" w:rsidR="00BF7F94" w:rsidRDefault="00000000">
            <w:r>
              <w:rPr>
                <w:sz w:val="19"/>
                <w:szCs w:val="19"/>
              </w:rPr>
              <w:t>F1, F2, F3, F4, F9</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CDC3FAD" w14:textId="77777777" w:rsidR="00BF7F94" w:rsidRDefault="00000000">
            <w:r>
              <w:rPr>
                <w:sz w:val="19"/>
                <w:szCs w:val="19"/>
              </w:rPr>
              <w:t xml:space="preserve">Corregir el </w:t>
            </w:r>
            <w:proofErr w:type="spellStart"/>
            <w:r>
              <w:rPr>
                <w:sz w:val="19"/>
                <w:szCs w:val="19"/>
              </w:rPr>
              <w:t>fallback</w:t>
            </w:r>
            <w:proofErr w:type="spellEnd"/>
            <w:r>
              <w:rPr>
                <w:sz w:val="19"/>
                <w:szCs w:val="19"/>
              </w:rPr>
              <w:t xml:space="preserve"> de modulo y restringirlo por </w:t>
            </w:r>
            <w:proofErr w:type="spellStart"/>
            <w:r>
              <w:rPr>
                <w:sz w:val="19"/>
                <w:szCs w:val="19"/>
              </w:rPr>
              <w:t>constraint</w:t>
            </w:r>
            <w:proofErr w:type="spellEnd"/>
            <w:r>
              <w:rPr>
                <w:sz w:val="19"/>
                <w:szCs w:val="19"/>
              </w:rPr>
              <w:t xml:space="preserve">; migrar de IDENTITY_INSERT a clave técnica + clave de negocio compuesta; unificar </w:t>
            </w:r>
            <w:proofErr w:type="spellStart"/>
            <w:r>
              <w:rPr>
                <w:sz w:val="19"/>
                <w:szCs w:val="19"/>
              </w:rPr>
              <w:t>DIM_Medico</w:t>
            </w:r>
            <w:proofErr w:type="spellEnd"/>
            <w:r>
              <w:rPr>
                <w:sz w:val="19"/>
                <w:szCs w:val="19"/>
              </w:rPr>
              <w:t xml:space="preserve"> como maestro único (FK </w:t>
            </w:r>
            <w:proofErr w:type="spellStart"/>
            <w:r>
              <w:rPr>
                <w:sz w:val="19"/>
                <w:szCs w:val="19"/>
              </w:rPr>
              <w:t>nullable</w:t>
            </w:r>
            <w:proofErr w:type="spellEnd"/>
            <w:r>
              <w:rPr>
                <w:sz w:val="19"/>
                <w:szCs w:val="19"/>
              </w:rPr>
              <w:t xml:space="preserve"> + </w:t>
            </w:r>
            <w:proofErr w:type="spellStart"/>
            <w:r>
              <w:rPr>
                <w:sz w:val="19"/>
                <w:szCs w:val="19"/>
              </w:rPr>
              <w:t>backfill</w:t>
            </w:r>
            <w:proofErr w:type="spellEnd"/>
            <w:r>
              <w:rPr>
                <w:sz w:val="19"/>
                <w:szCs w:val="19"/>
              </w:rPr>
              <w:t xml:space="preserve">); agregar FK faltantes a </w:t>
            </w:r>
            <w:proofErr w:type="spellStart"/>
            <w:r>
              <w:rPr>
                <w:sz w:val="19"/>
                <w:szCs w:val="19"/>
              </w:rPr>
              <w:t>gerente_id</w:t>
            </w:r>
            <w:proofErr w:type="spellEnd"/>
            <w:r>
              <w:rPr>
                <w:sz w:val="19"/>
                <w:szCs w:val="19"/>
              </w:rPr>
              <w:t>/</w:t>
            </w:r>
            <w:proofErr w:type="spellStart"/>
            <w:r>
              <w:rPr>
                <w:sz w:val="19"/>
                <w:szCs w:val="19"/>
              </w:rPr>
              <w:t>rm_id</w:t>
            </w:r>
            <w:proofErr w:type="spellEnd"/>
            <w:r>
              <w:rPr>
                <w:sz w:val="19"/>
                <w:szCs w:val="19"/>
              </w:rPr>
              <w:t xml:space="preserve">; corregir unicidad de </w:t>
            </w:r>
            <w:proofErr w:type="spellStart"/>
            <w:r>
              <w:rPr>
                <w:sz w:val="19"/>
                <w:szCs w:val="19"/>
              </w:rPr>
              <w:t>DIM_</w:t>
            </w:r>
            <w:proofErr w:type="gramStart"/>
            <w:r>
              <w:rPr>
                <w:sz w:val="19"/>
                <w:szCs w:val="19"/>
              </w:rPr>
              <w:t>RM.codigo</w:t>
            </w:r>
            <w:proofErr w:type="spellEnd"/>
            <w:proofErr w:type="gramEnd"/>
            <w:r>
              <w:rPr>
                <w:sz w:val="19"/>
                <w:szCs w:val="19"/>
              </w:rPr>
              <w:t xml:space="preserve"> por país.</w:t>
            </w:r>
          </w:p>
        </w:tc>
        <w:tc>
          <w:tcPr>
            <w:tcW w:w="17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2883C39D" w14:textId="77777777" w:rsidR="00BF7F94" w:rsidRDefault="00000000">
            <w:r>
              <w:rPr>
                <w:sz w:val="19"/>
                <w:szCs w:val="19"/>
              </w:rPr>
              <w:t xml:space="preserve">Migración </w:t>
            </w:r>
            <w:proofErr w:type="spellStart"/>
            <w:r>
              <w:rPr>
                <w:sz w:val="19"/>
                <w:szCs w:val="19"/>
              </w:rPr>
              <w:t>Alembic</w:t>
            </w:r>
            <w:proofErr w:type="spellEnd"/>
            <w:r>
              <w:rPr>
                <w:sz w:val="19"/>
                <w:szCs w:val="19"/>
              </w:rPr>
              <w:t xml:space="preserve"> + ajuste de dims.py. No requiere tocar los SP de Cálculo salvo F1 (CHECK </w:t>
            </w:r>
            <w:proofErr w:type="spellStart"/>
            <w:r>
              <w:rPr>
                <w:sz w:val="19"/>
                <w:szCs w:val="19"/>
              </w:rPr>
              <w:t>constraint</w:t>
            </w:r>
            <w:proofErr w:type="spellEnd"/>
            <w:r>
              <w:rPr>
                <w:sz w:val="19"/>
                <w:szCs w:val="19"/>
              </w:rPr>
              <w:t>) y F2 (si se altera la PK de Indicador, hay que revisar las FK que usan los SP).</w:t>
            </w:r>
          </w:p>
        </w:tc>
      </w:tr>
      <w:tr w:rsidR="00BF7F94" w14:paraId="13B8DC8C" w14:textId="77777777">
        <w:tblPrEx>
          <w:tblCellMar>
            <w:top w:w="0" w:type="dxa"/>
            <w:bottom w:w="0" w:type="dxa"/>
          </w:tblCellMar>
        </w:tblPrEx>
        <w:tc>
          <w:tcPr>
            <w:tcW w:w="13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EF9B619" w14:textId="77777777" w:rsidR="00BF7F94" w:rsidRDefault="00000000">
            <w:r>
              <w:rPr>
                <w:b/>
                <w:bCs/>
                <w:sz w:val="19"/>
                <w:szCs w:val="19"/>
              </w:rPr>
              <w:t>Fase 2 — Alta</w:t>
            </w:r>
          </w:p>
        </w:tc>
        <w:tc>
          <w:tcPr>
            <w:tcW w:w="15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CCBDC15" w14:textId="77777777" w:rsidR="00BF7F94" w:rsidRDefault="00000000">
            <w:r>
              <w:rPr>
                <w:sz w:val="19"/>
                <w:szCs w:val="19"/>
              </w:rPr>
              <w:t>F5, F6, F7, F10, F11</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33C70D56" w14:textId="77777777" w:rsidR="00BF7F94" w:rsidRDefault="00000000">
            <w:r>
              <w:rPr>
                <w:sz w:val="19"/>
                <w:szCs w:val="19"/>
              </w:rPr>
              <w:t xml:space="preserve">Agregar </w:t>
            </w:r>
            <w:proofErr w:type="spellStart"/>
            <w:r>
              <w:rPr>
                <w:sz w:val="19"/>
                <w:szCs w:val="19"/>
              </w:rPr>
              <w:t>UniqueConstraint</w:t>
            </w:r>
            <w:proofErr w:type="spellEnd"/>
            <w:r>
              <w:rPr>
                <w:sz w:val="19"/>
                <w:szCs w:val="19"/>
              </w:rPr>
              <w:t xml:space="preserve"> a las FACT_* calculadas y mover el SP de generación a </w:t>
            </w:r>
            <w:proofErr w:type="spellStart"/>
            <w:r>
              <w:rPr>
                <w:sz w:val="19"/>
                <w:szCs w:val="19"/>
              </w:rPr>
              <w:t>upsert</w:t>
            </w:r>
            <w:proofErr w:type="spellEnd"/>
            <w:r>
              <w:rPr>
                <w:sz w:val="19"/>
                <w:szCs w:val="19"/>
              </w:rPr>
              <w:t xml:space="preserve"> explícito; distinguir semántica de puntos vs. factor con columna nueva; eliminar </w:t>
            </w:r>
            <w:proofErr w:type="spellStart"/>
            <w:r>
              <w:rPr>
                <w:sz w:val="19"/>
                <w:szCs w:val="19"/>
              </w:rPr>
              <w:t>fallback</w:t>
            </w:r>
            <w:proofErr w:type="spellEnd"/>
            <w:r>
              <w:rPr>
                <w:sz w:val="19"/>
                <w:szCs w:val="19"/>
              </w:rPr>
              <w:t xml:space="preserve"> </w:t>
            </w:r>
            <w:proofErr w:type="spellStart"/>
            <w:r>
              <w:rPr>
                <w:sz w:val="19"/>
                <w:szCs w:val="19"/>
              </w:rPr>
              <w:t>cross</w:t>
            </w:r>
            <w:proofErr w:type="spellEnd"/>
            <w:r>
              <w:rPr>
                <w:sz w:val="19"/>
                <w:szCs w:val="19"/>
              </w:rPr>
              <w:t xml:space="preserve">-país de indicador; ajustar </w:t>
            </w:r>
            <w:proofErr w:type="spellStart"/>
            <w:r>
              <w:rPr>
                <w:sz w:val="19"/>
                <w:szCs w:val="19"/>
              </w:rPr>
              <w:t>staging</w:t>
            </w:r>
            <w:proofErr w:type="spellEnd"/>
            <w:r>
              <w:rPr>
                <w:sz w:val="19"/>
                <w:szCs w:val="19"/>
              </w:rPr>
              <w:t xml:space="preserve"> para no sobrescribir cargas previas; exponer conteo de filas descartadas en /</w:t>
            </w:r>
            <w:proofErr w:type="spellStart"/>
            <w:r>
              <w:rPr>
                <w:sz w:val="19"/>
                <w:szCs w:val="19"/>
              </w:rPr>
              <w:t>etl</w:t>
            </w:r>
            <w:proofErr w:type="spellEnd"/>
            <w:r>
              <w:rPr>
                <w:sz w:val="19"/>
                <w:szCs w:val="19"/>
              </w:rPr>
              <w:t>/</w:t>
            </w:r>
            <w:proofErr w:type="gramStart"/>
            <w:r>
              <w:rPr>
                <w:sz w:val="19"/>
                <w:szCs w:val="19"/>
              </w:rPr>
              <w:t>status</w:t>
            </w:r>
            <w:proofErr w:type="gramEnd"/>
            <w:r>
              <w:rPr>
                <w:sz w:val="19"/>
                <w:szCs w:val="19"/>
              </w:rPr>
              <w:t>.</w:t>
            </w:r>
          </w:p>
        </w:tc>
        <w:tc>
          <w:tcPr>
            <w:tcW w:w="17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765771E2" w14:textId="77777777" w:rsidR="00BF7F94" w:rsidRDefault="00000000">
            <w:r>
              <w:rPr>
                <w:sz w:val="19"/>
                <w:szCs w:val="19"/>
              </w:rPr>
              <w:t xml:space="preserve">Migración </w:t>
            </w:r>
            <w:proofErr w:type="spellStart"/>
            <w:r>
              <w:rPr>
                <w:sz w:val="19"/>
                <w:szCs w:val="19"/>
              </w:rPr>
              <w:t>Alembic</w:t>
            </w:r>
            <w:proofErr w:type="spellEnd"/>
            <w:r>
              <w:rPr>
                <w:sz w:val="19"/>
                <w:szCs w:val="19"/>
              </w:rPr>
              <w:t xml:space="preserve"> + actualización de </w:t>
            </w:r>
            <w:proofErr w:type="spellStart"/>
            <w:proofErr w:type="gramStart"/>
            <w:r>
              <w:rPr>
                <w:sz w:val="19"/>
                <w:szCs w:val="19"/>
              </w:rPr>
              <w:t>DW.sp</w:t>
            </w:r>
            <w:proofErr w:type="gramEnd"/>
            <w:r>
              <w:rPr>
                <w:sz w:val="19"/>
                <w:szCs w:val="19"/>
              </w:rPr>
              <w:t>_GenerarRankingCiclo</w:t>
            </w:r>
            <w:proofErr w:type="spellEnd"/>
            <w:r>
              <w:rPr>
                <w:sz w:val="19"/>
                <w:szCs w:val="19"/>
              </w:rPr>
              <w:t xml:space="preserve"> y </w:t>
            </w:r>
            <w:proofErr w:type="spellStart"/>
            <w:proofErr w:type="gramStart"/>
            <w:r>
              <w:rPr>
                <w:sz w:val="19"/>
                <w:szCs w:val="19"/>
              </w:rPr>
              <w:t>DW.sp</w:t>
            </w:r>
            <w:proofErr w:type="gramEnd"/>
            <w:r>
              <w:rPr>
                <w:sz w:val="19"/>
                <w:szCs w:val="19"/>
              </w:rPr>
              <w:t>_CompletarPuntajesCiclo</w:t>
            </w:r>
            <w:proofErr w:type="spellEnd"/>
            <w:r>
              <w:rPr>
                <w:sz w:val="19"/>
                <w:szCs w:val="19"/>
              </w:rPr>
              <w:t xml:space="preserve"> (CLAUDE.md §8/§23 exige tocar el SP junto con el modelo).</w:t>
            </w:r>
          </w:p>
        </w:tc>
      </w:tr>
      <w:tr w:rsidR="00BF7F94" w14:paraId="7FEF4662" w14:textId="77777777">
        <w:tblPrEx>
          <w:tblCellMar>
            <w:top w:w="0" w:type="dxa"/>
            <w:bottom w:w="0" w:type="dxa"/>
          </w:tblCellMar>
        </w:tblPrEx>
        <w:tc>
          <w:tcPr>
            <w:tcW w:w="13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35F19AA3" w14:textId="77777777" w:rsidR="00BF7F94" w:rsidRDefault="00000000">
            <w:r>
              <w:rPr>
                <w:b/>
                <w:bCs/>
                <w:sz w:val="19"/>
                <w:szCs w:val="19"/>
              </w:rPr>
              <w:t>Fase 3 — Media</w:t>
            </w:r>
          </w:p>
        </w:tc>
        <w:tc>
          <w:tcPr>
            <w:tcW w:w="15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10C62666" w14:textId="77777777" w:rsidR="00BF7F94" w:rsidRDefault="00000000">
            <w:r>
              <w:rPr>
                <w:sz w:val="19"/>
                <w:szCs w:val="19"/>
              </w:rPr>
              <w:t>F8, F12, F13, F14, F16</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1CBBDFF6" w14:textId="77777777" w:rsidR="00BF7F94" w:rsidRDefault="00000000">
            <w:r>
              <w:rPr>
                <w:sz w:val="19"/>
                <w:szCs w:val="19"/>
              </w:rPr>
              <w:t xml:space="preserve">Mover el mapeo de hojas Excel a una tabla de configuración; normalizar el match de nombre de médico y priorizar código/cédula; limpiar </w:t>
            </w:r>
            <w:proofErr w:type="spellStart"/>
            <w:r>
              <w:rPr>
                <w:sz w:val="19"/>
                <w:szCs w:val="19"/>
              </w:rPr>
              <w:t>logging</w:t>
            </w:r>
            <w:proofErr w:type="spellEnd"/>
            <w:r>
              <w:rPr>
                <w:sz w:val="19"/>
                <w:szCs w:val="19"/>
              </w:rPr>
              <w:t xml:space="preserve"> de depuración; versionar archivos fuente; documentar una Especificación de Carga única.</w:t>
            </w:r>
          </w:p>
        </w:tc>
        <w:tc>
          <w:tcPr>
            <w:tcW w:w="17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E8BB017" w14:textId="77777777" w:rsidR="00BF7F94" w:rsidRDefault="00000000">
            <w:r>
              <w:rPr>
                <w:sz w:val="19"/>
                <w:szCs w:val="19"/>
              </w:rPr>
              <w:t xml:space="preserve">Cambios de código en </w:t>
            </w:r>
            <w:proofErr w:type="spellStart"/>
            <w:r>
              <w:rPr>
                <w:sz w:val="19"/>
                <w:szCs w:val="19"/>
              </w:rPr>
              <w:t>routers</w:t>
            </w:r>
            <w:proofErr w:type="spellEnd"/>
            <w:r>
              <w:rPr>
                <w:sz w:val="19"/>
                <w:szCs w:val="19"/>
              </w:rPr>
              <w:t>/</w:t>
            </w:r>
            <w:proofErr w:type="spellStart"/>
            <w:r>
              <w:rPr>
                <w:sz w:val="19"/>
                <w:szCs w:val="19"/>
              </w:rPr>
              <w:t>services</w:t>
            </w:r>
            <w:proofErr w:type="spellEnd"/>
            <w:r>
              <w:rPr>
                <w:sz w:val="19"/>
                <w:szCs w:val="19"/>
              </w:rPr>
              <w:t xml:space="preserve">; una migración nueva si se crea </w:t>
            </w:r>
            <w:proofErr w:type="spellStart"/>
            <w:r>
              <w:rPr>
                <w:sz w:val="19"/>
                <w:szCs w:val="19"/>
              </w:rPr>
              <w:t>Config.DIM_MapeoHojaExcel</w:t>
            </w:r>
            <w:proofErr w:type="spellEnd"/>
            <w:r>
              <w:rPr>
                <w:sz w:val="19"/>
                <w:szCs w:val="19"/>
              </w:rPr>
              <w:t>.</w:t>
            </w:r>
          </w:p>
        </w:tc>
      </w:tr>
      <w:tr w:rsidR="00BF7F94" w14:paraId="1A481A25" w14:textId="77777777">
        <w:tblPrEx>
          <w:tblCellMar>
            <w:top w:w="0" w:type="dxa"/>
            <w:bottom w:w="0" w:type="dxa"/>
          </w:tblCellMar>
        </w:tblPrEx>
        <w:tc>
          <w:tcPr>
            <w:tcW w:w="13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196C0A53" w14:textId="77777777" w:rsidR="00BF7F94" w:rsidRDefault="00000000">
            <w:r>
              <w:rPr>
                <w:b/>
                <w:bCs/>
                <w:sz w:val="19"/>
                <w:szCs w:val="19"/>
              </w:rPr>
              <w:t>Fase 4 — Gobernanza</w:t>
            </w:r>
          </w:p>
        </w:tc>
        <w:tc>
          <w:tcPr>
            <w:tcW w:w="15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0D4DB35" w14:textId="77777777" w:rsidR="00BF7F94" w:rsidRDefault="00000000">
            <w:r>
              <w:rPr>
                <w:sz w:val="19"/>
                <w:szCs w:val="19"/>
              </w:rPr>
              <w:t>F15</w:t>
            </w:r>
          </w:p>
        </w:tc>
        <w:tc>
          <w:tcPr>
            <w:tcW w:w="518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60EA5DEA" w14:textId="77777777" w:rsidR="00BF7F94" w:rsidRDefault="00000000">
            <w:r>
              <w:rPr>
                <w:sz w:val="19"/>
                <w:szCs w:val="19"/>
              </w:rPr>
              <w:t xml:space="preserve">Actualizar MSM.docx o formalizar CLAUDE.md como única fuente viva de documentación, con el mismo estándar de cita </w:t>
            </w:r>
            <w:proofErr w:type="spellStart"/>
            <w:proofErr w:type="gramStart"/>
            <w:r>
              <w:rPr>
                <w:sz w:val="19"/>
                <w:szCs w:val="19"/>
              </w:rPr>
              <w:t>archivo:línea</w:t>
            </w:r>
            <w:proofErr w:type="spellEnd"/>
            <w:proofErr w:type="gramEnd"/>
            <w:r>
              <w:rPr>
                <w:sz w:val="19"/>
                <w:szCs w:val="19"/>
              </w:rPr>
              <w:t xml:space="preserve"> usado en este informe.</w:t>
            </w:r>
          </w:p>
        </w:tc>
        <w:tc>
          <w:tcPr>
            <w:tcW w:w="1700" w:type="dxa"/>
            <w:tcBorders>
              <w:top w:val="single" w:sz="2" w:space="0" w:color="D5DBDB"/>
              <w:left w:val="single" w:sz="2" w:space="0" w:color="D5DBDB"/>
              <w:bottom w:val="single" w:sz="2" w:space="0" w:color="D5DBDB"/>
              <w:right w:val="single" w:sz="2" w:space="0" w:color="D5DBDB"/>
            </w:tcBorders>
            <w:tcMar>
              <w:top w:w="100" w:type="dxa"/>
              <w:left w:w="140" w:type="dxa"/>
              <w:bottom w:w="100" w:type="dxa"/>
              <w:right w:w="140" w:type="dxa"/>
            </w:tcMar>
          </w:tcPr>
          <w:p w14:paraId="1A21B5CC" w14:textId="77777777" w:rsidR="00BF7F94" w:rsidRDefault="00000000">
            <w:r>
              <w:rPr>
                <w:sz w:val="19"/>
                <w:szCs w:val="19"/>
              </w:rPr>
              <w:t>Sin cambios de esquema ni de código.</w:t>
            </w:r>
          </w:p>
        </w:tc>
      </w:tr>
    </w:tbl>
    <w:p w14:paraId="5B1FB869" w14:textId="77777777" w:rsidR="00BF7F94" w:rsidRDefault="00000000">
      <w:pPr>
        <w:spacing w:before="160" w:after="160"/>
      </w:pPr>
      <w:r>
        <w:t xml:space="preserve">Los módulos de Categorización Médica y Cobertura Predictiva, cuyo motor de cálculo es deliberadamente 100% Python (sin </w:t>
      </w:r>
      <w:proofErr w:type="spellStart"/>
      <w:r>
        <w:t>stored</w:t>
      </w:r>
      <w:proofErr w:type="spellEnd"/>
      <w:r>
        <w:t xml:space="preserve"> </w:t>
      </w:r>
      <w:proofErr w:type="spellStart"/>
      <w:r>
        <w:t>procedures</w:t>
      </w:r>
      <w:proofErr w:type="spellEnd"/>
      <w:r>
        <w:t xml:space="preserve">), no se ven afectados por la restricción de actualizar </w:t>
      </w:r>
      <w:proofErr w:type="spellStart"/>
      <w:r>
        <w:t>SPs</w:t>
      </w:r>
      <w:proofErr w:type="spellEnd"/>
      <w:r>
        <w:t xml:space="preserve"> — los cambios que les correspondan (F3, F12) se limitan a los servicios Python y sus migraciones.</w:t>
      </w:r>
    </w:p>
    <w:p w14:paraId="6AF26C1C" w14:textId="77777777" w:rsidR="00BF7F94" w:rsidRDefault="00000000">
      <w:pPr>
        <w:spacing w:after="160"/>
      </w:pPr>
      <w:r>
        <w:t>Los archivos comercial.py/</w:t>
      </w:r>
      <w:proofErr w:type="spellStart"/>
      <w:r>
        <w:t>Comercial.tsx</w:t>
      </w:r>
      <w:proofErr w:type="spellEnd"/>
      <w:r>
        <w:t xml:space="preserve"> y capacitacion.py/</w:t>
      </w:r>
      <w:proofErr w:type="spellStart"/>
      <w:r>
        <w:t>Capacitacion.tsx</w:t>
      </w:r>
      <w:proofErr w:type="spellEnd"/>
      <w:r>
        <w:t xml:space="preserve"> permanecen fuera del alcance de este informe: son código muerto intencional, no registrado en router.py ni en </w:t>
      </w:r>
      <w:proofErr w:type="spellStart"/>
      <w:r>
        <w:t>App.tsx</w:t>
      </w:r>
      <w:proofErr w:type="spellEnd"/>
      <w:r>
        <w:t>, y ninguno de los 16 hallazgos requiere reactivarlos ni modificarlos.</w:t>
      </w:r>
    </w:p>
    <w:p w14:paraId="712A5173" w14:textId="77777777" w:rsidR="00BF7F94" w:rsidRDefault="00000000">
      <w:pPr>
        <w:pStyle w:val="Ttulo1"/>
        <w:pageBreakBefore/>
      </w:pPr>
      <w:r>
        <w:lastRenderedPageBreak/>
        <w:t>6. Conclusión</w:t>
      </w:r>
    </w:p>
    <w:p w14:paraId="7F839C8A" w14:textId="77777777" w:rsidR="00BF7F94" w:rsidRDefault="00000000">
      <w:pPr>
        <w:spacing w:after="160"/>
      </w:pPr>
      <w:r>
        <w:t xml:space="preserve">La estructura actual de MSM funciona en producción y, en varios puntos, ya aplica patrones de diseño correctos (la unicidad compuesta de Indicador, la detección de hoja por firma de columnas en el ETL de KPI_RM, el </w:t>
      </w:r>
      <w:proofErr w:type="spellStart"/>
      <w:r>
        <w:t>snapshot</w:t>
      </w:r>
      <w:proofErr w:type="spellEnd"/>
      <w:r>
        <w:t xml:space="preserve"> de puntos ocultos en LSII). El riesgo para la escalabilidad no proviene de un único defecto de diseño, sino de la aplicación inconsistente de esos mismos patrones correctos entre tablas y módulos similares: lo que protege a Indicador no protege a RM; lo que protege a </w:t>
      </w:r>
      <w:proofErr w:type="spellStart"/>
      <w:r>
        <w:t>rm_id</w:t>
      </w:r>
      <w:proofErr w:type="spellEnd"/>
      <w:r>
        <w:t xml:space="preserve"> no protege a </w:t>
      </w:r>
      <w:proofErr w:type="spellStart"/>
      <w:r>
        <w:t>gerente_id</w:t>
      </w:r>
      <w:proofErr w:type="spellEnd"/>
      <w:r>
        <w:t>; lo que unifica al médico en Categorización no lo unifica en Cobertura Predictiva.</w:t>
      </w:r>
    </w:p>
    <w:p w14:paraId="77194C65" w14:textId="77777777" w:rsidR="00BF7F94" w:rsidRDefault="00000000">
      <w:pPr>
        <w:spacing w:after="160"/>
      </w:pPr>
      <w:r>
        <w:t xml:space="preserve">Las cinco correcciones de Fase 1 (F1, F2, F3, F4, F9) son las que tienen mayor relación costo/beneficio: cierran exclusiones silenciosas del Score (F1), riesgos de seguridad en el alcance RBAC (F4), y colisiones de identidad entre países (F2, F9) con cambios de esquema acotados y ya patroneados en el propio código. La unificación del maestro de médicos (F3) es la de mayor envergadura y la que más se encarece con el tiempo si se posterga, por lo que se recomienda iniciarla en </w:t>
      </w:r>
      <w:proofErr w:type="gramStart"/>
      <w:r>
        <w:t>paralelo</w:t>
      </w:r>
      <w:proofErr w:type="gramEnd"/>
      <w:r>
        <w:t xml:space="preserve"> aunque su </w:t>
      </w:r>
      <w:proofErr w:type="spellStart"/>
      <w:r>
        <w:t>backfill</w:t>
      </w:r>
      <w:proofErr w:type="spellEnd"/>
      <w:r>
        <w:t xml:space="preserve"> completo tome más ciclos en cerrarse.</w:t>
      </w:r>
    </w:p>
    <w:p w14:paraId="2094BF0C" w14:textId="77777777" w:rsidR="00BF7F94" w:rsidRDefault="00000000">
      <w:r>
        <w:t xml:space="preserve">Quedo disponible para convertir cualquiera de estas recomendaciones en migraciones </w:t>
      </w:r>
      <w:proofErr w:type="spellStart"/>
      <w:r>
        <w:t>Alembic</w:t>
      </w:r>
      <w:proofErr w:type="spellEnd"/>
      <w:r>
        <w:t xml:space="preserve"> concretas, empezando por las cinco de Fase 1.</w:t>
      </w:r>
    </w:p>
    <w:sectPr w:rsidR="00BF7F9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AC33F" w14:textId="77777777" w:rsidR="00C26D7C" w:rsidRDefault="00C26D7C">
      <w:r>
        <w:separator/>
      </w:r>
    </w:p>
  </w:endnote>
  <w:endnote w:type="continuationSeparator" w:id="0">
    <w:p w14:paraId="5C99BEF7" w14:textId="77777777" w:rsidR="00C26D7C" w:rsidRDefault="00C26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2AB1" w14:textId="77777777" w:rsidR="00BF7F94" w:rsidRDefault="00000000">
    <w:pPr>
      <w:jc w:val="center"/>
    </w:pPr>
    <w:r>
      <w:rPr>
        <w:color w:val="5D6D7E"/>
        <w:sz w:val="16"/>
        <w:szCs w:val="16"/>
      </w:rPr>
      <w:t xml:space="preserve">Página </w:t>
    </w:r>
    <w:r>
      <w:rPr>
        <w:color w:val="5D6D7E"/>
        <w:sz w:val="16"/>
        <w:szCs w:val="16"/>
      </w:rPr>
      <w:fldChar w:fldCharType="begin"/>
    </w:r>
    <w:r>
      <w:rPr>
        <w:color w:val="5D6D7E"/>
        <w:sz w:val="16"/>
        <w:szCs w:val="16"/>
      </w:rPr>
      <w:instrText>PAGE</w:instrText>
    </w:r>
    <w:r>
      <w:rPr>
        <w:color w:val="5D6D7E"/>
        <w:sz w:val="16"/>
        <w:szCs w:val="16"/>
      </w:rPr>
      <w:fldChar w:fldCharType="separate"/>
    </w:r>
    <w:r w:rsidR="00DF4566">
      <w:rPr>
        <w:noProof/>
        <w:color w:val="5D6D7E"/>
        <w:sz w:val="16"/>
        <w:szCs w:val="16"/>
      </w:rPr>
      <w:t>1</w:t>
    </w:r>
    <w:r>
      <w:rPr>
        <w:color w:val="5D6D7E"/>
        <w:sz w:val="16"/>
        <w:szCs w:val="16"/>
      </w:rPr>
      <w:fldChar w:fldCharType="end"/>
    </w:r>
    <w:r>
      <w:rPr>
        <w:color w:val="5D6D7E"/>
        <w:sz w:val="16"/>
        <w:szCs w:val="16"/>
      </w:rPr>
      <w:t xml:space="preserve"> de </w:t>
    </w:r>
    <w:r>
      <w:rPr>
        <w:color w:val="5D6D7E"/>
        <w:sz w:val="16"/>
        <w:szCs w:val="16"/>
      </w:rPr>
      <w:fldChar w:fldCharType="begin"/>
    </w:r>
    <w:r>
      <w:rPr>
        <w:color w:val="5D6D7E"/>
        <w:sz w:val="16"/>
        <w:szCs w:val="16"/>
      </w:rPr>
      <w:instrText>NUMPAGES</w:instrText>
    </w:r>
    <w:r>
      <w:rPr>
        <w:color w:val="5D6D7E"/>
        <w:sz w:val="16"/>
        <w:szCs w:val="16"/>
      </w:rPr>
      <w:fldChar w:fldCharType="separate"/>
    </w:r>
    <w:r w:rsidR="00DF4566">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D567" w14:textId="77777777" w:rsidR="00C26D7C" w:rsidRDefault="00C26D7C">
      <w:r>
        <w:separator/>
      </w:r>
    </w:p>
  </w:footnote>
  <w:footnote w:type="continuationSeparator" w:id="0">
    <w:p w14:paraId="171DA99D" w14:textId="77777777" w:rsidR="00C26D7C" w:rsidRDefault="00C26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3467" w14:textId="77777777" w:rsidR="00BF7F94" w:rsidRDefault="00000000">
    <w:pPr>
      <w:pBdr>
        <w:bottom w:val="single" w:sz="4" w:space="4" w:color="D5DBDB"/>
      </w:pBdr>
      <w:tabs>
        <w:tab w:val="right" w:pos="9026"/>
      </w:tabs>
    </w:pPr>
    <w:r>
      <w:rPr>
        <w:color w:val="5D6D7E"/>
        <w:sz w:val="16"/>
        <w:szCs w:val="16"/>
      </w:rPr>
      <w:t>MSM — Análisis Estructural DIM/FACT</w:t>
    </w:r>
    <w:r>
      <w:rPr>
        <w:color w:val="5D6D7E"/>
        <w:sz w:val="16"/>
        <w:szCs w:val="16"/>
      </w:rPr>
      <w:tab/>
      <w:t>Confidencial — 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0783D"/>
    <w:multiLevelType w:val="hybridMultilevel"/>
    <w:tmpl w:val="EDDCBB24"/>
    <w:lvl w:ilvl="0" w:tplc="0434807A">
      <w:start w:val="1"/>
      <w:numFmt w:val="bullet"/>
      <w:lvlText w:val="●"/>
      <w:lvlJc w:val="left"/>
      <w:pPr>
        <w:ind w:left="720" w:hanging="360"/>
      </w:pPr>
    </w:lvl>
    <w:lvl w:ilvl="1" w:tplc="60E49236">
      <w:start w:val="1"/>
      <w:numFmt w:val="bullet"/>
      <w:lvlText w:val="○"/>
      <w:lvlJc w:val="left"/>
      <w:pPr>
        <w:ind w:left="1440" w:hanging="360"/>
      </w:pPr>
    </w:lvl>
    <w:lvl w:ilvl="2" w:tplc="C55CE80E">
      <w:start w:val="1"/>
      <w:numFmt w:val="bullet"/>
      <w:lvlText w:val="■"/>
      <w:lvlJc w:val="left"/>
      <w:pPr>
        <w:ind w:left="2160" w:hanging="360"/>
      </w:pPr>
    </w:lvl>
    <w:lvl w:ilvl="3" w:tplc="28FC973E">
      <w:start w:val="1"/>
      <w:numFmt w:val="bullet"/>
      <w:lvlText w:val="●"/>
      <w:lvlJc w:val="left"/>
      <w:pPr>
        <w:ind w:left="2880" w:hanging="360"/>
      </w:pPr>
    </w:lvl>
    <w:lvl w:ilvl="4" w:tplc="B9D4971C">
      <w:start w:val="1"/>
      <w:numFmt w:val="bullet"/>
      <w:lvlText w:val="○"/>
      <w:lvlJc w:val="left"/>
      <w:pPr>
        <w:ind w:left="3600" w:hanging="360"/>
      </w:pPr>
    </w:lvl>
    <w:lvl w:ilvl="5" w:tplc="AC547E92">
      <w:start w:val="1"/>
      <w:numFmt w:val="bullet"/>
      <w:lvlText w:val="■"/>
      <w:lvlJc w:val="left"/>
      <w:pPr>
        <w:ind w:left="4320" w:hanging="360"/>
      </w:pPr>
    </w:lvl>
    <w:lvl w:ilvl="6" w:tplc="1BACF098">
      <w:start w:val="1"/>
      <w:numFmt w:val="bullet"/>
      <w:lvlText w:val="●"/>
      <w:lvlJc w:val="left"/>
      <w:pPr>
        <w:ind w:left="5040" w:hanging="360"/>
      </w:pPr>
    </w:lvl>
    <w:lvl w:ilvl="7" w:tplc="A35EB674">
      <w:start w:val="1"/>
      <w:numFmt w:val="bullet"/>
      <w:lvlText w:val="●"/>
      <w:lvlJc w:val="left"/>
      <w:pPr>
        <w:ind w:left="5760" w:hanging="360"/>
      </w:pPr>
    </w:lvl>
    <w:lvl w:ilvl="8" w:tplc="068C692A">
      <w:start w:val="1"/>
      <w:numFmt w:val="bullet"/>
      <w:lvlText w:val="●"/>
      <w:lvlJc w:val="left"/>
      <w:pPr>
        <w:ind w:left="6480" w:hanging="360"/>
      </w:pPr>
    </w:lvl>
  </w:abstractNum>
  <w:abstractNum w:abstractNumId="1" w15:restartNumberingAfterBreak="0">
    <w:nsid w:val="6CD04163"/>
    <w:multiLevelType w:val="hybridMultilevel"/>
    <w:tmpl w:val="4A3EABD2"/>
    <w:lvl w:ilvl="0" w:tplc="0366A368">
      <w:start w:val="1"/>
      <w:numFmt w:val="bullet"/>
      <w:lvlText w:val="•"/>
      <w:lvlJc w:val="left"/>
      <w:pPr>
        <w:ind w:left="720" w:hanging="360"/>
      </w:pPr>
    </w:lvl>
    <w:lvl w:ilvl="1" w:tplc="637A9DD6">
      <w:numFmt w:val="decimal"/>
      <w:lvlText w:val=""/>
      <w:lvlJc w:val="left"/>
    </w:lvl>
    <w:lvl w:ilvl="2" w:tplc="A44440CC">
      <w:numFmt w:val="decimal"/>
      <w:lvlText w:val=""/>
      <w:lvlJc w:val="left"/>
    </w:lvl>
    <w:lvl w:ilvl="3" w:tplc="66FAF772">
      <w:numFmt w:val="decimal"/>
      <w:lvlText w:val=""/>
      <w:lvlJc w:val="left"/>
    </w:lvl>
    <w:lvl w:ilvl="4" w:tplc="574EBBB6">
      <w:numFmt w:val="decimal"/>
      <w:lvlText w:val=""/>
      <w:lvlJc w:val="left"/>
    </w:lvl>
    <w:lvl w:ilvl="5" w:tplc="EA822A42">
      <w:numFmt w:val="decimal"/>
      <w:lvlText w:val=""/>
      <w:lvlJc w:val="left"/>
    </w:lvl>
    <w:lvl w:ilvl="6" w:tplc="A2B69EE6">
      <w:numFmt w:val="decimal"/>
      <w:lvlText w:val=""/>
      <w:lvlJc w:val="left"/>
    </w:lvl>
    <w:lvl w:ilvl="7" w:tplc="870C56EC">
      <w:numFmt w:val="decimal"/>
      <w:lvlText w:val=""/>
      <w:lvlJc w:val="left"/>
    </w:lvl>
    <w:lvl w:ilvl="8" w:tplc="1F464052">
      <w:numFmt w:val="decimal"/>
      <w:lvlText w:val=""/>
      <w:lvlJc w:val="left"/>
    </w:lvl>
  </w:abstractNum>
  <w:num w:numId="1" w16cid:durableId="444009975">
    <w:abstractNumId w:val="0"/>
    <w:lvlOverride w:ilvl="0">
      <w:startOverride w:val="1"/>
    </w:lvlOverride>
  </w:num>
  <w:num w:numId="2" w16cid:durableId="1157573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94"/>
    <w:rsid w:val="0034252F"/>
    <w:rsid w:val="003E5371"/>
    <w:rsid w:val="00BF7F94"/>
    <w:rsid w:val="00C26D7C"/>
    <w:rsid w:val="00DF456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64FD"/>
  <w15:docId w15:val="{8ADD28A2-7681-4EB4-901E-D86C9BE1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80"/>
      <w:outlineLvl w:val="0"/>
    </w:pPr>
    <w:rPr>
      <w:rFonts w:ascii="Cambria" w:eastAsia="Cambria" w:hAnsi="Cambria" w:cs="Cambria"/>
      <w:b/>
      <w:bCs/>
      <w:color w:val="1E2761"/>
      <w:sz w:val="32"/>
      <w:szCs w:val="32"/>
    </w:rPr>
  </w:style>
  <w:style w:type="paragraph" w:styleId="Ttulo2">
    <w:name w:val="heading 2"/>
    <w:uiPriority w:val="9"/>
    <w:unhideWhenUsed/>
    <w:qFormat/>
    <w:pPr>
      <w:spacing w:before="360" w:after="200"/>
      <w:outlineLvl w:val="1"/>
    </w:pPr>
    <w:rPr>
      <w:rFonts w:ascii="Cambria" w:eastAsia="Cambria" w:hAnsi="Cambria" w:cs="Cambria"/>
      <w:b/>
      <w:bCs/>
      <w:color w:val="151A47"/>
      <w:sz w:val="27"/>
      <w:szCs w:val="27"/>
    </w:rPr>
  </w:style>
  <w:style w:type="paragraph" w:styleId="Ttulo3">
    <w:name w:val="heading 3"/>
    <w:uiPriority w:val="9"/>
    <w:unhideWhenUsed/>
    <w:qFormat/>
    <w:pPr>
      <w:spacing w:before="280" w:after="100"/>
      <w:outlineLvl w:val="2"/>
    </w:pPr>
    <w:rPr>
      <w:rFonts w:ascii="Cambria" w:eastAsia="Cambria" w:hAnsi="Cambria" w:cs="Cambria"/>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4554</Words>
  <Characters>25050</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Segura Plasencia, Anabelle</cp:lastModifiedBy>
  <cp:revision>2</cp:revision>
  <dcterms:created xsi:type="dcterms:W3CDTF">2026-06-21T18:17:00Z</dcterms:created>
  <dcterms:modified xsi:type="dcterms:W3CDTF">2026-06-21T18:17:00Z</dcterms:modified>
</cp:coreProperties>
</file>