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17F" w:rsidRDefault="008F0BCB" w:rsidP="008F0BCB">
      <w:pPr>
        <w:pStyle w:val="Ttulo"/>
        <w:jc w:val="center"/>
      </w:pPr>
      <w:r>
        <w:t>Documento de diseño</w:t>
      </w:r>
    </w:p>
    <w:p w:rsidR="008F0BCB" w:rsidRDefault="008F0BCB"/>
    <w:p w:rsidR="00F6385C" w:rsidRDefault="00F6385C" w:rsidP="00F6385C">
      <w:pPr>
        <w:pStyle w:val="Ttulo2"/>
      </w:pPr>
      <w:r>
        <w:t xml:space="preserve">Diagrama de </w:t>
      </w:r>
      <w:r>
        <w:t>sistema</w:t>
      </w:r>
    </w:p>
    <w:p w:rsidR="00F6385C" w:rsidRDefault="00F6385C" w:rsidP="00F6385C"/>
    <w:p w:rsidR="00D853A8" w:rsidRDefault="00D853A8" w:rsidP="00F6385C">
      <w:r>
        <w:rPr>
          <w:noProof/>
          <w:lang w:eastAsia="es-ES"/>
        </w:rPr>
        <w:drawing>
          <wp:inline distT="0" distB="0" distL="0" distR="0">
            <wp:extent cx="5400040" cy="3246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a_context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5C" w:rsidRDefault="00F6385C" w:rsidP="00F6385C"/>
    <w:p w:rsidR="00656491" w:rsidRDefault="00656491" w:rsidP="00D853A8">
      <w:pPr>
        <w:jc w:val="both"/>
      </w:pPr>
      <w:r>
        <w:t xml:space="preserve">El sistema de análisis de sentimientos </w:t>
      </w:r>
      <w:r w:rsidR="00D853A8">
        <w:t xml:space="preserve">ideado para esta práctica </w:t>
      </w:r>
      <w:r>
        <w:t>est</w:t>
      </w:r>
      <w:r w:rsidR="00D853A8">
        <w:t>á formado por:</w:t>
      </w:r>
    </w:p>
    <w:p w:rsidR="00D853A8" w:rsidRDefault="00D853A8" w:rsidP="00D853A8">
      <w:pPr>
        <w:pStyle w:val="Prrafodelista"/>
        <w:numPr>
          <w:ilvl w:val="0"/>
          <w:numId w:val="4"/>
        </w:numPr>
        <w:jc w:val="both"/>
      </w:pPr>
      <w:r>
        <w:t xml:space="preserve">Kafka: </w:t>
      </w:r>
      <w:r>
        <w:t>sistema para</w:t>
      </w:r>
      <w:r>
        <w:t xml:space="preserve"> p</w:t>
      </w:r>
      <w:r>
        <w:t>ara</w:t>
      </w:r>
      <w:r>
        <w:t xml:space="preserve"> gara</w:t>
      </w:r>
      <w:r>
        <w:t>ntizar la integridad de la información recibida</w:t>
      </w:r>
      <w:r>
        <w:t>.</w:t>
      </w:r>
    </w:p>
    <w:p w:rsidR="00D853A8" w:rsidRDefault="00D853A8" w:rsidP="00D853A8">
      <w:pPr>
        <w:pStyle w:val="Prrafodelista"/>
        <w:numPr>
          <w:ilvl w:val="0"/>
          <w:numId w:val="4"/>
        </w:numPr>
        <w:jc w:val="both"/>
      </w:pPr>
      <w:proofErr w:type="spellStart"/>
      <w:r>
        <w:t>ksqlDB</w:t>
      </w:r>
      <w:proofErr w:type="spellEnd"/>
      <w:r>
        <w:t xml:space="preserve">: sistema </w:t>
      </w:r>
      <w:r>
        <w:t>para el almacenamiento de los resultados del análisis</w:t>
      </w:r>
      <w:r>
        <w:t>.</w:t>
      </w:r>
    </w:p>
    <w:p w:rsidR="00656491" w:rsidRDefault="00D853A8" w:rsidP="00D853A8">
      <w:pPr>
        <w:jc w:val="both"/>
      </w:pPr>
      <w:r>
        <w:t>Se podría haber dotado al sistema de una base de datos (</w:t>
      </w:r>
      <w:proofErr w:type="spellStart"/>
      <w:r>
        <w:t>MongoDB</w:t>
      </w:r>
      <w:proofErr w:type="spellEnd"/>
      <w:r>
        <w:t xml:space="preserve">) </w:t>
      </w:r>
      <w:r>
        <w:t xml:space="preserve">para el almacenamiento </w:t>
      </w:r>
      <w:r w:rsidR="00E5541A">
        <w:t xml:space="preserve">persistente </w:t>
      </w:r>
      <w:r>
        <w:t>de los resultados del análisis</w:t>
      </w:r>
      <w:r>
        <w:t>, pero se ha optado por almacenar los datos en directorios locales.</w:t>
      </w:r>
    </w:p>
    <w:p w:rsidR="00E5541A" w:rsidRDefault="00E5541A" w:rsidP="00D853A8">
      <w:pPr>
        <w:jc w:val="both"/>
      </w:pPr>
      <w:r>
        <w:t>E</w:t>
      </w:r>
      <w:r w:rsidR="00D853A8">
        <w:t>ste sistema recopil</w:t>
      </w:r>
      <w:r>
        <w:t>a</w:t>
      </w:r>
      <w:r w:rsidR="00D853A8">
        <w:t xml:space="preserve"> los tweets de una red social</w:t>
      </w:r>
      <w:r>
        <w:t xml:space="preserve"> y los procesa para ponerlos a disposición a través de </w:t>
      </w:r>
      <w:proofErr w:type="spellStart"/>
      <w:r>
        <w:t>ksqlDB</w:t>
      </w:r>
      <w:proofErr w:type="spellEnd"/>
      <w:r w:rsidR="008A6E60">
        <w:t xml:space="preserve">. El departamento de ingeniería de datos convierte los datos </w:t>
      </w:r>
      <w:r w:rsidR="008A6E60" w:rsidRPr="008A6E60">
        <w:t xml:space="preserve">en productos </w:t>
      </w:r>
      <w:r w:rsidR="008A6E60">
        <w:t xml:space="preserve">con valor para la empresa. El departamento de arquitectura de datos (con el </w:t>
      </w:r>
      <w:proofErr w:type="spellStart"/>
      <w:r w:rsidR="008A6E60">
        <w:t>feedback</w:t>
      </w:r>
      <w:proofErr w:type="spellEnd"/>
      <w:r w:rsidR="008A6E60">
        <w:t xml:space="preserve"> de ingeniería) incluye modificaciones de diseño para mejorar algún aspecto del sistema. Finalmente, el departamento de desarrollo se encargar</w:t>
      </w:r>
      <w:r w:rsidR="002C2701">
        <w:t>á en implementar el diseño de arquitectura para mejorar el sistema de análisis de sentimiento.</w:t>
      </w:r>
      <w:bookmarkStart w:id="0" w:name="_GoBack"/>
      <w:bookmarkEnd w:id="0"/>
    </w:p>
    <w:p w:rsidR="00D853A8" w:rsidRDefault="00D853A8" w:rsidP="00D853A8">
      <w:pPr>
        <w:jc w:val="both"/>
      </w:pPr>
    </w:p>
    <w:p w:rsidR="00D853A8" w:rsidRDefault="00D853A8" w:rsidP="00D853A8">
      <w:pPr>
        <w:jc w:val="both"/>
      </w:pPr>
    </w:p>
    <w:p w:rsidR="00F6385C" w:rsidRDefault="00F6385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F0BCB" w:rsidRDefault="008F0BCB" w:rsidP="008F0BCB">
      <w:pPr>
        <w:pStyle w:val="Ttulo2"/>
      </w:pPr>
      <w:r>
        <w:lastRenderedPageBreak/>
        <w:t>Diagrama de componentes</w:t>
      </w:r>
    </w:p>
    <w:p w:rsidR="008F0BCB" w:rsidRDefault="002754E4" w:rsidP="008F0BC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37928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fa_new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04" w:rsidRDefault="00CB1604"/>
    <w:p w:rsidR="00ED6FD5" w:rsidRDefault="00ED6FD5" w:rsidP="00F6385C">
      <w:pPr>
        <w:pStyle w:val="Ttulo3"/>
      </w:pPr>
      <w:r>
        <w:t xml:space="preserve">Contenedores </w:t>
      </w:r>
      <w:proofErr w:type="spellStart"/>
      <w:r>
        <w:t>Docker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6"/>
        <w:gridCol w:w="4972"/>
        <w:gridCol w:w="1836"/>
      </w:tblGrid>
      <w:tr w:rsidR="00ED6FD5" w:rsidTr="00BF3E7A">
        <w:tc>
          <w:tcPr>
            <w:tcW w:w="1686" w:type="dxa"/>
          </w:tcPr>
          <w:p w:rsidR="00ED6FD5" w:rsidRDefault="00ED6FD5" w:rsidP="00BF3E7A">
            <w:r>
              <w:t>Contenedor</w:t>
            </w:r>
          </w:p>
        </w:tc>
        <w:tc>
          <w:tcPr>
            <w:tcW w:w="4972" w:type="dxa"/>
          </w:tcPr>
          <w:p w:rsidR="00ED6FD5" w:rsidRDefault="00ED6FD5" w:rsidP="00BF3E7A">
            <w:r>
              <w:t>Función</w:t>
            </w:r>
          </w:p>
        </w:tc>
        <w:tc>
          <w:tcPr>
            <w:tcW w:w="1836" w:type="dxa"/>
          </w:tcPr>
          <w:p w:rsidR="00ED6FD5" w:rsidRDefault="00ED6FD5" w:rsidP="00BF3E7A">
            <w:r>
              <w:t>Usado</w:t>
            </w:r>
          </w:p>
        </w:tc>
      </w:tr>
      <w:tr w:rsidR="00ED6FD5" w:rsidTr="00BF3E7A">
        <w:tc>
          <w:tcPr>
            <w:tcW w:w="1686" w:type="dxa"/>
          </w:tcPr>
          <w:p w:rsidR="00ED6FD5" w:rsidRDefault="00ED6FD5" w:rsidP="00BF3E7A">
            <w:proofErr w:type="spellStart"/>
            <w:r>
              <w:t>zookeeper</w:t>
            </w:r>
            <w:proofErr w:type="spellEnd"/>
          </w:p>
        </w:tc>
        <w:tc>
          <w:tcPr>
            <w:tcW w:w="4972" w:type="dxa"/>
          </w:tcPr>
          <w:p w:rsidR="00ED6FD5" w:rsidRDefault="00ED6FD5" w:rsidP="00ED6FD5">
            <w:pPr>
              <w:jc w:val="both"/>
            </w:pPr>
            <w:r>
              <w:t>S</w:t>
            </w:r>
            <w:r w:rsidRPr="004E6C76">
              <w:t xml:space="preserve">ervidor de código abierto que permite </w:t>
            </w:r>
            <w:r>
              <w:t>la</w:t>
            </w:r>
            <w:r w:rsidRPr="004E6C76">
              <w:t xml:space="preserve"> coordinación distribuida</w:t>
            </w:r>
            <w:r>
              <w:t xml:space="preserve"> de diferentes procesos.</w:t>
            </w:r>
          </w:p>
        </w:tc>
        <w:tc>
          <w:tcPr>
            <w:tcW w:w="1836" w:type="dxa"/>
          </w:tcPr>
          <w:p w:rsidR="00ED6FD5" w:rsidRDefault="00ED6FD5" w:rsidP="00BF3E7A">
            <w:r>
              <w:t>Sí</w:t>
            </w:r>
          </w:p>
        </w:tc>
      </w:tr>
      <w:tr w:rsidR="00ED6FD5" w:rsidTr="00BF3E7A">
        <w:tc>
          <w:tcPr>
            <w:tcW w:w="1686" w:type="dxa"/>
          </w:tcPr>
          <w:p w:rsidR="00ED6FD5" w:rsidRDefault="00ED6FD5" w:rsidP="00BF3E7A">
            <w:proofErr w:type="spellStart"/>
            <w:r>
              <w:t>broker</w:t>
            </w:r>
            <w:proofErr w:type="spellEnd"/>
          </w:p>
        </w:tc>
        <w:tc>
          <w:tcPr>
            <w:tcW w:w="4972" w:type="dxa"/>
          </w:tcPr>
          <w:p w:rsidR="00ED6FD5" w:rsidRDefault="00ED6FD5" w:rsidP="00ED6FD5">
            <w:pPr>
              <w:jc w:val="both"/>
            </w:pPr>
            <w:r>
              <w:t>Contenedor para levantar un</w:t>
            </w:r>
            <w:r w:rsidRPr="004E6C76">
              <w:t xml:space="preserve"> nodo dentro de un clúster de Kafka. Cada bróker es responsable de almacenar datos en particiones y manejar la comunicación con los productores y consumidores.</w:t>
            </w:r>
          </w:p>
        </w:tc>
        <w:tc>
          <w:tcPr>
            <w:tcW w:w="1836" w:type="dxa"/>
          </w:tcPr>
          <w:p w:rsidR="00ED6FD5" w:rsidRDefault="00ED6FD5" w:rsidP="00BF3E7A">
            <w:r>
              <w:t>Sí</w:t>
            </w:r>
          </w:p>
        </w:tc>
      </w:tr>
      <w:tr w:rsidR="00ED6FD5" w:rsidTr="00BF3E7A">
        <w:tc>
          <w:tcPr>
            <w:tcW w:w="1686" w:type="dxa"/>
          </w:tcPr>
          <w:p w:rsidR="00ED6FD5" w:rsidRDefault="00ED6FD5" w:rsidP="00BF3E7A">
            <w:proofErr w:type="spellStart"/>
            <w:r>
              <w:t>schema-registry</w:t>
            </w:r>
            <w:proofErr w:type="spellEnd"/>
          </w:p>
        </w:tc>
        <w:tc>
          <w:tcPr>
            <w:tcW w:w="4972" w:type="dxa"/>
          </w:tcPr>
          <w:p w:rsidR="00ED6FD5" w:rsidRDefault="00ED6FD5" w:rsidP="00ED6FD5">
            <w:pPr>
              <w:jc w:val="both"/>
            </w:pPr>
            <w:r>
              <w:t>Contenedor que proporciona un repositorio centralizado para administrar y validar esquemas para datos de mensajes.</w:t>
            </w:r>
          </w:p>
        </w:tc>
        <w:tc>
          <w:tcPr>
            <w:tcW w:w="1836" w:type="dxa"/>
          </w:tcPr>
          <w:p w:rsidR="00ED6FD5" w:rsidRDefault="00ED6FD5" w:rsidP="00BF3E7A">
            <w:r>
              <w:t>Sí</w:t>
            </w:r>
          </w:p>
        </w:tc>
      </w:tr>
      <w:tr w:rsidR="00ED6FD5" w:rsidTr="00BF3E7A">
        <w:tc>
          <w:tcPr>
            <w:tcW w:w="1686" w:type="dxa"/>
          </w:tcPr>
          <w:p w:rsidR="00ED6FD5" w:rsidRDefault="00ED6FD5" w:rsidP="00BF3E7A">
            <w:proofErr w:type="spellStart"/>
            <w:r>
              <w:t>connect</w:t>
            </w:r>
            <w:proofErr w:type="spellEnd"/>
          </w:p>
        </w:tc>
        <w:tc>
          <w:tcPr>
            <w:tcW w:w="4972" w:type="dxa"/>
          </w:tcPr>
          <w:p w:rsidR="00ED6FD5" w:rsidRDefault="00ED6FD5" w:rsidP="00ED6FD5">
            <w:pPr>
              <w:jc w:val="both"/>
            </w:pPr>
            <w:r>
              <w:t>Contenedor para</w:t>
            </w:r>
            <w:r w:rsidRPr="00602B88">
              <w:t xml:space="preserve"> implementar y ejecutar Kafka </w:t>
            </w:r>
            <w:proofErr w:type="spellStart"/>
            <w:r w:rsidRPr="00602B88">
              <w:t>Connect</w:t>
            </w:r>
            <w:proofErr w:type="spellEnd"/>
            <w:r>
              <w:t xml:space="preserve"> que </w:t>
            </w:r>
            <w:r w:rsidRPr="00602B88">
              <w:t>permite conectar sistemas externos con un clúster Kafka.</w:t>
            </w:r>
          </w:p>
        </w:tc>
        <w:tc>
          <w:tcPr>
            <w:tcW w:w="1836" w:type="dxa"/>
          </w:tcPr>
          <w:p w:rsidR="00ED6FD5" w:rsidRDefault="00ED6FD5" w:rsidP="00BF3E7A">
            <w:r>
              <w:t>Por dependencia</w:t>
            </w:r>
          </w:p>
        </w:tc>
      </w:tr>
      <w:tr w:rsidR="00ED6FD5" w:rsidTr="00BF3E7A">
        <w:tc>
          <w:tcPr>
            <w:tcW w:w="1686" w:type="dxa"/>
          </w:tcPr>
          <w:p w:rsidR="00ED6FD5" w:rsidRDefault="00ED6FD5" w:rsidP="00BF3E7A">
            <w:r>
              <w:t>control-center</w:t>
            </w:r>
          </w:p>
        </w:tc>
        <w:tc>
          <w:tcPr>
            <w:tcW w:w="4972" w:type="dxa"/>
          </w:tcPr>
          <w:p w:rsidR="00ED6FD5" w:rsidRDefault="00ED6FD5" w:rsidP="00ED6FD5">
            <w:pPr>
              <w:jc w:val="both"/>
            </w:pPr>
            <w:proofErr w:type="spellStart"/>
            <w:r w:rsidRPr="00602B88">
              <w:t>Confluent</w:t>
            </w:r>
            <w:proofErr w:type="spellEnd"/>
            <w:r w:rsidRPr="00602B88">
              <w:t xml:space="preserve"> Control Center es una herramienta basada en web para administrar y monito</w:t>
            </w:r>
            <w:r>
              <w:t>rizar</w:t>
            </w:r>
            <w:r w:rsidRPr="00602B88">
              <w:t xml:space="preserve"> Apache Kafka.</w:t>
            </w:r>
          </w:p>
          <w:p w:rsidR="00ED6FD5" w:rsidRDefault="00ED6FD5" w:rsidP="00ED6FD5">
            <w:pPr>
              <w:jc w:val="both"/>
            </w:pPr>
            <w:r>
              <w:t>P</w:t>
            </w:r>
            <w:r w:rsidRPr="00602B88">
              <w:t xml:space="preserve">roporciona una interfaz de usuario que permite </w:t>
            </w:r>
            <w:r>
              <w:t>visualizar de forma</w:t>
            </w:r>
            <w:r w:rsidRPr="00602B88">
              <w:t xml:space="preserve"> rápida el estado del clúster, observar y controlar mensajes, </w:t>
            </w:r>
            <w:proofErr w:type="spellStart"/>
            <w:r>
              <w:t>topics</w:t>
            </w:r>
            <w:proofErr w:type="spellEnd"/>
            <w:r w:rsidRPr="00602B88">
              <w:t xml:space="preserve"> y esquemas, y desarrollar y ejecutar consultas </w:t>
            </w:r>
            <w:proofErr w:type="spellStart"/>
            <w:r w:rsidRPr="00602B88">
              <w:t>ksqlDB</w:t>
            </w:r>
            <w:proofErr w:type="spellEnd"/>
            <w:r w:rsidRPr="00602B88">
              <w:t>.</w:t>
            </w:r>
          </w:p>
        </w:tc>
        <w:tc>
          <w:tcPr>
            <w:tcW w:w="1836" w:type="dxa"/>
          </w:tcPr>
          <w:p w:rsidR="00ED6FD5" w:rsidRDefault="00ED6FD5" w:rsidP="00BF3E7A">
            <w:r>
              <w:t>Sí</w:t>
            </w:r>
          </w:p>
        </w:tc>
      </w:tr>
      <w:tr w:rsidR="00ED6FD5" w:rsidTr="00BF3E7A">
        <w:tc>
          <w:tcPr>
            <w:tcW w:w="1686" w:type="dxa"/>
          </w:tcPr>
          <w:p w:rsidR="00ED6FD5" w:rsidRDefault="00ED6FD5" w:rsidP="00BF3E7A">
            <w:proofErr w:type="spellStart"/>
            <w:r>
              <w:t>ksqldb</w:t>
            </w:r>
            <w:proofErr w:type="spellEnd"/>
            <w:r>
              <w:t>-server</w:t>
            </w:r>
          </w:p>
        </w:tc>
        <w:tc>
          <w:tcPr>
            <w:tcW w:w="4972" w:type="dxa"/>
          </w:tcPr>
          <w:p w:rsidR="00ED6FD5" w:rsidRDefault="00ED6FD5" w:rsidP="00ED6FD5">
            <w:pPr>
              <w:jc w:val="both"/>
            </w:pPr>
            <w:r>
              <w:t xml:space="preserve">Contenedor que incluye </w:t>
            </w:r>
            <w:r w:rsidRPr="0004582A">
              <w:t xml:space="preserve">el motor y la API </w:t>
            </w:r>
            <w:proofErr w:type="spellStart"/>
            <w:r w:rsidRPr="0004582A">
              <w:t>Rest</w:t>
            </w:r>
            <w:proofErr w:type="spellEnd"/>
            <w:r>
              <w:t>.</w:t>
            </w:r>
          </w:p>
        </w:tc>
        <w:tc>
          <w:tcPr>
            <w:tcW w:w="1836" w:type="dxa"/>
          </w:tcPr>
          <w:p w:rsidR="00ED6FD5" w:rsidRDefault="00ED6FD5" w:rsidP="00BF3E7A">
            <w:r>
              <w:t>Por dependencia</w:t>
            </w:r>
          </w:p>
        </w:tc>
      </w:tr>
      <w:tr w:rsidR="00ED6FD5" w:rsidTr="00BF3E7A">
        <w:tc>
          <w:tcPr>
            <w:tcW w:w="1686" w:type="dxa"/>
          </w:tcPr>
          <w:p w:rsidR="00ED6FD5" w:rsidRDefault="00ED6FD5" w:rsidP="00BF3E7A">
            <w:proofErr w:type="spellStart"/>
            <w:r>
              <w:t>ksqldb</w:t>
            </w:r>
            <w:proofErr w:type="spellEnd"/>
            <w:r>
              <w:t>-cli</w:t>
            </w:r>
          </w:p>
        </w:tc>
        <w:tc>
          <w:tcPr>
            <w:tcW w:w="4972" w:type="dxa"/>
          </w:tcPr>
          <w:p w:rsidR="00ED6FD5" w:rsidRDefault="00ED6FD5" w:rsidP="00ED6FD5">
            <w:pPr>
              <w:jc w:val="both"/>
            </w:pPr>
            <w:r>
              <w:t xml:space="preserve">Contenedor que </w:t>
            </w:r>
            <w:r w:rsidRPr="0004582A">
              <w:t xml:space="preserve">proporciona una interfaz por línea de comandos que permite a los usuarios interactuar con el motor de </w:t>
            </w:r>
            <w:proofErr w:type="spellStart"/>
            <w:r w:rsidRPr="0004582A">
              <w:t>ksqlDB</w:t>
            </w:r>
            <w:proofErr w:type="spellEnd"/>
            <w:r w:rsidRPr="0004582A">
              <w:t xml:space="preserve"> Server a través </w:t>
            </w:r>
            <w:r>
              <w:t xml:space="preserve">de la API </w:t>
            </w:r>
            <w:proofErr w:type="spellStart"/>
            <w:r>
              <w:t>Rest</w:t>
            </w:r>
            <w:proofErr w:type="spellEnd"/>
            <w:r>
              <w:t xml:space="preserve"> de </w:t>
            </w:r>
            <w:proofErr w:type="spellStart"/>
            <w:r>
              <w:t>ksqlDB</w:t>
            </w:r>
            <w:proofErr w:type="spellEnd"/>
            <w:r>
              <w:t xml:space="preserve"> Server</w:t>
            </w:r>
            <w:r w:rsidRPr="0004582A">
              <w:t>.</w:t>
            </w:r>
          </w:p>
        </w:tc>
        <w:tc>
          <w:tcPr>
            <w:tcW w:w="1836" w:type="dxa"/>
          </w:tcPr>
          <w:p w:rsidR="00ED6FD5" w:rsidRDefault="00ED6FD5" w:rsidP="00BF3E7A">
            <w:r>
              <w:t>Sí</w:t>
            </w:r>
          </w:p>
        </w:tc>
      </w:tr>
    </w:tbl>
    <w:p w:rsidR="00ED6FD5" w:rsidRDefault="00ED6FD5"/>
    <w:p w:rsidR="00CB1604" w:rsidRDefault="00ED6FD5" w:rsidP="00F6385C">
      <w:pPr>
        <w:pStyle w:val="Ttulo3"/>
      </w:pPr>
      <w:r>
        <w:t>Scripts Python</w:t>
      </w:r>
    </w:p>
    <w:p w:rsidR="00ED6FD5" w:rsidRDefault="00ED6FD5" w:rsidP="00F6385C">
      <w:pPr>
        <w:pStyle w:val="Ttulo4"/>
      </w:pPr>
      <w:bookmarkStart w:id="1" w:name="_Toc161908635"/>
      <w:r>
        <w:t>twitterProducer.py</w:t>
      </w:r>
      <w:bookmarkEnd w:id="1"/>
    </w:p>
    <w:p w:rsidR="00ED6FD5" w:rsidRDefault="00ED6FD5" w:rsidP="00ED6FD5">
      <w:pPr>
        <w:jc w:val="both"/>
      </w:pPr>
      <w:r>
        <w:t xml:space="preserve">Su función principal es leer los ficheros con tweets de una </w:t>
      </w:r>
      <w:r w:rsidR="00B61A82">
        <w:t>determinada ruta</w:t>
      </w:r>
      <w:r>
        <w:t xml:space="preserve"> y enviarlos </w:t>
      </w:r>
      <w:r w:rsidR="00B61A82">
        <w:t>por la cola “tweets-</w:t>
      </w:r>
      <w:proofErr w:type="spellStart"/>
      <w:r w:rsidR="00B61A82">
        <w:t>kafka</w:t>
      </w:r>
      <w:proofErr w:type="spellEnd"/>
      <w:r w:rsidR="00B61A82">
        <w:t>”</w:t>
      </w:r>
      <w:r>
        <w:t>.</w:t>
      </w:r>
    </w:p>
    <w:p w:rsidR="00A12851" w:rsidRDefault="00A12851" w:rsidP="00ED6FD5">
      <w:pPr>
        <w:jc w:val="both"/>
      </w:pPr>
      <w:r>
        <w:t xml:space="preserve">También es el encargado de almacenar en diferentes </w:t>
      </w:r>
      <w:r w:rsidR="00F109E9">
        <w:t>rutas</w:t>
      </w:r>
      <w:r>
        <w:t xml:space="preserve"> (a modo de </w:t>
      </w:r>
      <w:proofErr w:type="spellStart"/>
      <w:r>
        <w:t>backup</w:t>
      </w:r>
      <w:proofErr w:type="spellEnd"/>
      <w:r>
        <w:t>) la información que recibe y envía:</w:t>
      </w:r>
    </w:p>
    <w:p w:rsidR="00A12851" w:rsidRDefault="00A12851" w:rsidP="00A12851">
      <w:pPr>
        <w:pStyle w:val="Prrafodelista"/>
        <w:numPr>
          <w:ilvl w:val="0"/>
          <w:numId w:val="2"/>
        </w:numPr>
        <w:ind w:left="426"/>
        <w:jc w:val="both"/>
      </w:pPr>
      <w:r>
        <w:t>02_processed: Almacena los ficheros que ha leído de origen.</w:t>
      </w:r>
    </w:p>
    <w:p w:rsidR="00A12851" w:rsidRDefault="00A12851" w:rsidP="00A12851">
      <w:pPr>
        <w:pStyle w:val="Prrafodelista"/>
        <w:numPr>
          <w:ilvl w:val="0"/>
          <w:numId w:val="2"/>
        </w:numPr>
        <w:ind w:left="426"/>
        <w:jc w:val="both"/>
      </w:pPr>
      <w:r>
        <w:t>03_received: Almacena los mensajes que se han enviado.</w:t>
      </w:r>
    </w:p>
    <w:p w:rsidR="00A12851" w:rsidRDefault="00A12851" w:rsidP="00A12851">
      <w:pPr>
        <w:pStyle w:val="Prrafodelista"/>
        <w:numPr>
          <w:ilvl w:val="0"/>
          <w:numId w:val="2"/>
        </w:numPr>
        <w:ind w:left="426"/>
        <w:jc w:val="both"/>
      </w:pPr>
      <w:r>
        <w:t>04_failed: Almacena los registros de los ficheros de origen que han dado error de lectura.</w:t>
      </w:r>
    </w:p>
    <w:p w:rsidR="00ED6FD5" w:rsidRDefault="00ED6FD5" w:rsidP="00F6385C">
      <w:pPr>
        <w:pStyle w:val="Ttulo4"/>
      </w:pPr>
      <w:bookmarkStart w:id="2" w:name="_Toc161908637"/>
      <w:r>
        <w:t>twitterConsumer-sentimentProducer.py</w:t>
      </w:r>
      <w:bookmarkEnd w:id="2"/>
    </w:p>
    <w:p w:rsidR="00B61A82" w:rsidRDefault="00B61A82" w:rsidP="00ED6FD5">
      <w:pPr>
        <w:jc w:val="both"/>
      </w:pPr>
      <w:r>
        <w:t>Tiene dos funciones principales:</w:t>
      </w:r>
    </w:p>
    <w:p w:rsidR="00B61A82" w:rsidRDefault="00B61A82" w:rsidP="00B61A82">
      <w:pPr>
        <w:pStyle w:val="Prrafodelista"/>
        <w:numPr>
          <w:ilvl w:val="0"/>
          <w:numId w:val="2"/>
        </w:numPr>
        <w:jc w:val="both"/>
      </w:pPr>
      <w:r>
        <w:t>consumir los mensajes procedentes de la cola “tweets-</w:t>
      </w:r>
      <w:proofErr w:type="spellStart"/>
      <w:r>
        <w:t>kafka</w:t>
      </w:r>
      <w:proofErr w:type="spellEnd"/>
      <w:r>
        <w:t>”.</w:t>
      </w:r>
    </w:p>
    <w:p w:rsidR="00B61A82" w:rsidRDefault="00B61A82" w:rsidP="00B61A82">
      <w:pPr>
        <w:pStyle w:val="Prrafodelista"/>
        <w:numPr>
          <w:ilvl w:val="0"/>
          <w:numId w:val="2"/>
        </w:numPr>
        <w:jc w:val="both"/>
      </w:pPr>
      <w:r>
        <w:t>enviar a la cola “tweets-</w:t>
      </w:r>
      <w:proofErr w:type="spellStart"/>
      <w:r>
        <w:t>sentiment</w:t>
      </w:r>
      <w:proofErr w:type="spellEnd"/>
      <w:r>
        <w:t>” el resultado de aplicar un modelo de sentimientos a los tweets.</w:t>
      </w:r>
    </w:p>
    <w:p w:rsidR="00F109E9" w:rsidRDefault="00F109E9" w:rsidP="00F109E9">
      <w:pPr>
        <w:jc w:val="both"/>
      </w:pPr>
      <w:r>
        <w:t xml:space="preserve">También es el encargado de almacenar (a modo de </w:t>
      </w:r>
      <w:proofErr w:type="spellStart"/>
      <w:r>
        <w:t>backup</w:t>
      </w:r>
      <w:proofErr w:type="spellEnd"/>
      <w:r>
        <w:t xml:space="preserve">) la información </w:t>
      </w:r>
      <w:r w:rsidR="00B61A82">
        <w:t>envía.</w:t>
      </w:r>
    </w:p>
    <w:p w:rsidR="00CB1604" w:rsidRDefault="00CB1604"/>
    <w:p w:rsidR="00B35A97" w:rsidRDefault="00B35A97" w:rsidP="00F6385C">
      <w:pPr>
        <w:pStyle w:val="Ttulo3"/>
      </w:pPr>
      <w:r>
        <w:t>Colas Kafka</w:t>
      </w:r>
    </w:p>
    <w:p w:rsidR="00B35A97" w:rsidRDefault="00A54642" w:rsidP="00A54642">
      <w:pPr>
        <w:jc w:val="both"/>
      </w:pPr>
      <w:r>
        <w:t>El propósito de una cola de mensajes es ayudar al flujo de mensajes de manera fiable, donde los productores y los receptores de los mensajes no necesitan interactuar con la cola de mensajes al mismo tiempo.</w:t>
      </w:r>
    </w:p>
    <w:p w:rsidR="00A54642" w:rsidRDefault="00A54642" w:rsidP="00A54642">
      <w:pPr>
        <w:jc w:val="both"/>
      </w:pPr>
      <w:r>
        <w:t>En este caso se ha optado por usar dos colas de Kafka:</w:t>
      </w:r>
    </w:p>
    <w:p w:rsidR="00A54642" w:rsidRDefault="00A54642" w:rsidP="00A54642">
      <w:pPr>
        <w:pStyle w:val="Prrafodelista"/>
        <w:numPr>
          <w:ilvl w:val="0"/>
          <w:numId w:val="1"/>
        </w:numPr>
        <w:ind w:left="426"/>
        <w:jc w:val="both"/>
      </w:pPr>
      <w:r>
        <w:t>tweets-</w:t>
      </w:r>
      <w:proofErr w:type="spellStart"/>
      <w:r>
        <w:t>kafka</w:t>
      </w:r>
      <w:proofErr w:type="spellEnd"/>
      <w:r>
        <w:t xml:space="preserve">: Se encarga de transmitir los mensajes de la red social desde unos ficheros de origen hasta los diferentes consumidores. En este caso, </w:t>
      </w:r>
      <w:r w:rsidR="00A12851">
        <w:t xml:space="preserve">sólo existe un único consumidor, </w:t>
      </w:r>
      <w:r>
        <w:t>que será el encargado de analizar los mensajes para determinar el sentimiento de los mismos.</w:t>
      </w:r>
    </w:p>
    <w:p w:rsidR="00A12851" w:rsidRDefault="00A54642" w:rsidP="00A12851">
      <w:pPr>
        <w:pStyle w:val="Prrafodelista"/>
        <w:numPr>
          <w:ilvl w:val="0"/>
          <w:numId w:val="1"/>
        </w:numPr>
        <w:ind w:left="426"/>
        <w:jc w:val="both"/>
      </w:pPr>
      <w:r>
        <w:t>tweets-</w:t>
      </w:r>
      <w:proofErr w:type="spellStart"/>
      <w:r>
        <w:t>sentiment</w:t>
      </w:r>
      <w:proofErr w:type="spellEnd"/>
      <w:r w:rsidR="00A12851">
        <w:t xml:space="preserve">: Se encarga de transmitir los mensajes etiquetados con un sentimiento (determinado por un modelo de análisis) hasta una base de datos </w:t>
      </w:r>
      <w:proofErr w:type="spellStart"/>
      <w:r w:rsidR="00A12851">
        <w:t>ksqlDB</w:t>
      </w:r>
      <w:proofErr w:type="spellEnd"/>
      <w:r w:rsidR="00A12851">
        <w:t>.</w:t>
      </w:r>
    </w:p>
    <w:p w:rsidR="00A54642" w:rsidRDefault="00A54642" w:rsidP="00905751">
      <w:pPr>
        <w:ind w:left="66"/>
        <w:jc w:val="both"/>
      </w:pPr>
    </w:p>
    <w:p w:rsidR="00B35A97" w:rsidRDefault="00B35A97" w:rsidP="00F6385C">
      <w:pPr>
        <w:pStyle w:val="Ttulo3"/>
      </w:pPr>
      <w:proofErr w:type="spellStart"/>
      <w:r>
        <w:t>ksqlDB</w:t>
      </w:r>
      <w:proofErr w:type="spellEnd"/>
    </w:p>
    <w:p w:rsidR="007D3DD0" w:rsidRDefault="007D3DD0" w:rsidP="007D3DD0">
      <w:pPr>
        <w:jc w:val="both"/>
      </w:pPr>
      <w:proofErr w:type="spellStart"/>
      <w:r>
        <w:t>ksqlDB</w:t>
      </w:r>
      <w:proofErr w:type="spellEnd"/>
      <w:r>
        <w:t xml:space="preserve"> es una base de datos para </w:t>
      </w:r>
      <w:proofErr w:type="spellStart"/>
      <w:r>
        <w:t>streaming</w:t>
      </w:r>
      <w:proofErr w:type="spellEnd"/>
      <w:r>
        <w:t xml:space="preserve"> de eventos de código abierto, basada en Kafka </w:t>
      </w:r>
      <w:proofErr w:type="spellStart"/>
      <w:r>
        <w:t>Streams</w:t>
      </w:r>
      <w:proofErr w:type="spellEnd"/>
      <w:r>
        <w:t xml:space="preserve"> y que simplifica el procesamiento de flujos de datos.</w:t>
      </w:r>
    </w:p>
    <w:p w:rsidR="00B35A97" w:rsidRDefault="007D3DD0" w:rsidP="007D3DD0">
      <w:pPr>
        <w:jc w:val="both"/>
      </w:pPr>
      <w:r>
        <w:t xml:space="preserve">Para ello, integra dos componentes del ecosistema Kafka (Kafka </w:t>
      </w:r>
      <w:proofErr w:type="spellStart"/>
      <w:r>
        <w:t>Streams</w:t>
      </w:r>
      <w:proofErr w:type="spellEnd"/>
      <w:r>
        <w:t xml:space="preserve"> y Kafka </w:t>
      </w:r>
      <w:proofErr w:type="spellStart"/>
      <w:r>
        <w:t>Connect</w:t>
      </w:r>
      <w:proofErr w:type="spellEnd"/>
      <w:r>
        <w:t>) en un único sistema y ofrecer una interfaz SQL para interactuar con ambos componentes.</w:t>
      </w:r>
    </w:p>
    <w:p w:rsidR="00CB1604" w:rsidRDefault="00CB1604" w:rsidP="00F6385C">
      <w:pPr>
        <w:jc w:val="both"/>
      </w:pPr>
    </w:p>
    <w:p w:rsidR="00865B21" w:rsidRDefault="00865B21" w:rsidP="00865B21">
      <w:pPr>
        <w:jc w:val="center"/>
      </w:pPr>
    </w:p>
    <w:p w:rsidR="00865B21" w:rsidRDefault="00865B21" w:rsidP="00865B21">
      <w:pPr>
        <w:jc w:val="center"/>
      </w:pPr>
    </w:p>
    <w:sectPr w:rsidR="00865B21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C5D" w:rsidRDefault="00052C5D" w:rsidP="005D6F67">
      <w:pPr>
        <w:spacing w:after="0" w:line="240" w:lineRule="auto"/>
      </w:pPr>
      <w:r>
        <w:separator/>
      </w:r>
    </w:p>
  </w:endnote>
  <w:endnote w:type="continuationSeparator" w:id="0">
    <w:p w:rsidR="00052C5D" w:rsidRDefault="00052C5D" w:rsidP="005D6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7839462"/>
      <w:docPartObj>
        <w:docPartGallery w:val="Page Numbers (Bottom of Page)"/>
        <w:docPartUnique/>
      </w:docPartObj>
    </w:sdtPr>
    <w:sdtEndPr/>
    <w:sdtContent>
      <w:p w:rsidR="005D6F67" w:rsidRDefault="005D6F6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BA9">
          <w:rPr>
            <w:noProof/>
          </w:rPr>
          <w:t>3</w:t>
        </w:r>
        <w:r>
          <w:fldChar w:fldCharType="end"/>
        </w:r>
        <w:r>
          <w:t>/</w:t>
        </w:r>
        <w:fldSimple w:instr=" NUMPAGES   \* MERGEFORMAT ">
          <w:r w:rsidR="00324BA9">
            <w:rPr>
              <w:noProof/>
            </w:rPr>
            <w:t>3</w:t>
          </w:r>
        </w:fldSimple>
      </w:p>
    </w:sdtContent>
  </w:sdt>
  <w:p w:rsidR="005D6F67" w:rsidRDefault="005D6F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C5D" w:rsidRDefault="00052C5D" w:rsidP="005D6F67">
      <w:pPr>
        <w:spacing w:after="0" w:line="240" w:lineRule="auto"/>
      </w:pPr>
      <w:r>
        <w:separator/>
      </w:r>
    </w:p>
  </w:footnote>
  <w:footnote w:type="continuationSeparator" w:id="0">
    <w:p w:rsidR="00052C5D" w:rsidRDefault="00052C5D" w:rsidP="005D6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C0D22"/>
    <w:multiLevelType w:val="hybridMultilevel"/>
    <w:tmpl w:val="98A0B506"/>
    <w:lvl w:ilvl="0" w:tplc="C0421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903B8"/>
    <w:multiLevelType w:val="hybridMultilevel"/>
    <w:tmpl w:val="E69C7E22"/>
    <w:lvl w:ilvl="0" w:tplc="E3DAB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A1C22"/>
    <w:multiLevelType w:val="hybridMultilevel"/>
    <w:tmpl w:val="CD98D36E"/>
    <w:lvl w:ilvl="0" w:tplc="4498F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2041D"/>
    <w:multiLevelType w:val="hybridMultilevel"/>
    <w:tmpl w:val="70EECAA0"/>
    <w:lvl w:ilvl="0" w:tplc="D8F49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74"/>
    <w:rsid w:val="00030BAD"/>
    <w:rsid w:val="00052C5D"/>
    <w:rsid w:val="002754E4"/>
    <w:rsid w:val="002C2701"/>
    <w:rsid w:val="00324BA9"/>
    <w:rsid w:val="005B13B0"/>
    <w:rsid w:val="005D6F67"/>
    <w:rsid w:val="005E6A14"/>
    <w:rsid w:val="00617074"/>
    <w:rsid w:val="00656491"/>
    <w:rsid w:val="007D3DD0"/>
    <w:rsid w:val="00865B21"/>
    <w:rsid w:val="008A6E60"/>
    <w:rsid w:val="008E017F"/>
    <w:rsid w:val="008F0BCB"/>
    <w:rsid w:val="00905751"/>
    <w:rsid w:val="00A12851"/>
    <w:rsid w:val="00A54642"/>
    <w:rsid w:val="00AE175A"/>
    <w:rsid w:val="00B35A97"/>
    <w:rsid w:val="00B61A82"/>
    <w:rsid w:val="00CB1604"/>
    <w:rsid w:val="00D853A8"/>
    <w:rsid w:val="00E16374"/>
    <w:rsid w:val="00E5541A"/>
    <w:rsid w:val="00ED6FD5"/>
    <w:rsid w:val="00F109E9"/>
    <w:rsid w:val="00F6385C"/>
    <w:rsid w:val="00FA4A7A"/>
    <w:rsid w:val="00FC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32031"/>
  <w15:chartTrackingRefBased/>
  <w15:docId w15:val="{EE7514BC-DC3C-42C3-92E1-EDD6023A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9E9"/>
  </w:style>
  <w:style w:type="paragraph" w:styleId="Ttulo1">
    <w:name w:val="heading 1"/>
    <w:basedOn w:val="Normal"/>
    <w:next w:val="Normal"/>
    <w:link w:val="Ttulo1Car"/>
    <w:uiPriority w:val="9"/>
    <w:qFormat/>
    <w:rsid w:val="008F0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6F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6F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63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B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B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8F0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0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D6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D6F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D6FD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A546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6F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F67"/>
  </w:style>
  <w:style w:type="paragraph" w:styleId="Piedepgina">
    <w:name w:val="footer"/>
    <w:basedOn w:val="Normal"/>
    <w:link w:val="PiedepginaCar"/>
    <w:uiPriority w:val="99"/>
    <w:unhideWhenUsed/>
    <w:rsid w:val="005D6F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F67"/>
  </w:style>
  <w:style w:type="character" w:customStyle="1" w:styleId="Ttulo5Car">
    <w:name w:val="Título 5 Car"/>
    <w:basedOn w:val="Fuentedeprrafopredeter"/>
    <w:link w:val="Ttulo5"/>
    <w:uiPriority w:val="9"/>
    <w:rsid w:val="00F6385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segweba</dc:creator>
  <cp:keywords/>
  <dc:description/>
  <cp:lastModifiedBy>segweba</cp:lastModifiedBy>
  <cp:revision>8</cp:revision>
  <cp:lastPrinted>2024-03-22T18:13:00Z</cp:lastPrinted>
  <dcterms:created xsi:type="dcterms:W3CDTF">2024-03-21T11:18:00Z</dcterms:created>
  <dcterms:modified xsi:type="dcterms:W3CDTF">2024-03-22T18:13:00Z</dcterms:modified>
</cp:coreProperties>
</file>