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b/>
          <w:bCs/>
        </w:rPr>
        <w:t xml:space="preserve">GeoMinerAI: An AI-Driven Framework for Mineral Alteration Zone Detection</w:t>
      </w:r>
      <w:r>
        <w:rPr>
          <w:b/>
          <w:bCs/>
        </w:rPr>
        <w:t xml:space="preserve"> </w:t>
      </w:r>
      <w:r>
        <w:rPr>
          <w:b/>
          <w:bCs/>
        </w:rPr>
        <w:t xml:space="preserve">Using Sentinel-2 Imagery and LLM-Based Agent Orchestration on the Jos</w:t>
      </w:r>
      <w:r>
        <w:rPr>
          <w:b/>
          <w:bCs/>
        </w:rPr>
        <w:t xml:space="preserve"> </w:t>
      </w:r>
      <w:r>
        <w:rPr>
          <w:b/>
          <w:bCs/>
        </w:rPr>
        <w:t xml:space="preserve">Plateau, Nigeria</w:t>
      </w:r>
    </w:p>
    <w:p>
      <w:pPr>
        <w:pStyle w:val="Author"/>
      </w:pPr>
      <w:r>
        <w:t xml:space="preserve">Author One</w:t>
      </w:r>
      <m:oMath>
        <m:sSup>
          <m:e>
            <m:r>
              <m:t>​</m:t>
            </m:r>
          </m:e>
          <m:sup>
            <m:r>
              <m:t>1</m:t>
            </m:r>
            <m:r>
              <m:rPr>
                <m:sty m:val="p"/>
              </m:rPr>
              <m:t>,</m:t>
            </m:r>
            <m:r>
              <m:rPr>
                <m:sty m:val="p"/>
              </m:rPr>
              <m:t>*</m:t>
            </m:r>
          </m:sup>
        </m:sSup>
      </m:oMath>
      <w:r>
        <w:t xml:space="preserve">, Author Two</w:t>
      </w:r>
      <m:oMath>
        <m:sSup>
          <m:e>
            <m:r>
              <m:t>​</m:t>
            </m:r>
          </m:e>
          <m:sup>
            <m:r>
              <m:t>1</m:t>
            </m:r>
          </m:sup>
        </m:sSup>
      </m:oMath>
      <w:r>
        <w:t xml:space="preserve">, Author Three</w:t>
      </w:r>
      <m:oMath>
        <m:sSup>
          <m:e>
            <m:r>
              <m:t>​</m:t>
            </m:r>
          </m:e>
          <m:sup>
            <m:r>
              <m:t>2</m:t>
            </m:r>
          </m:sup>
        </m:sSup>
      </m:oMath>
      <w:r>
        <w:br/>
      </w:r>
      <m:oMath>
        <m:sSup>
          <m:e>
            <m:r>
              <m:t>​</m:t>
            </m:r>
          </m:e>
          <m:sup>
            <m:r>
              <m:t>1</m:t>
            </m:r>
          </m:sup>
        </m:sSup>
      </m:oMath>
      <w:r>
        <w:t xml:space="preserve">Department of Geology, University of Jos, Jos, Nigeria</w:t>
      </w:r>
      <w:r>
        <w:br/>
      </w:r>
      <m:oMath>
        <m:sSup>
          <m:e>
            <m:r>
              <m:t>​</m:t>
            </m:r>
          </m:e>
          <m:sup>
            <m:r>
              <m:t>2</m:t>
            </m:r>
          </m:sup>
        </m:sSup>
      </m:oMath>
      <w:r>
        <w:t xml:space="preserve">Department of Computer Science, University of Jos, Jos, Nigeria</w:t>
      </w:r>
      <w:r>
        <w:br/>
      </w:r>
      <m:oMath>
        <m:sSup>
          <m:e>
            <m:r>
              <m:t>​</m:t>
            </m:r>
          </m:e>
          <m:sup>
            <m:r>
              <m:rPr>
                <m:sty m:val="p"/>
              </m:rPr>
              <m:t>*</m:t>
            </m:r>
          </m:sup>
        </m:sSup>
      </m:oMath>
      <w:r>
        <w:t xml:space="preserve">Corresponding author. e-mail: author@example.com</w:t>
      </w:r>
    </w:p>
    <w:p>
      <w:pPr>
        <w:pStyle w:val="AbstractTitle"/>
      </w:pPr>
      <w:r>
        <w:t xml:space="preserve">Abstract</w:t>
      </w:r>
    </w:p>
    <w:p>
      <w:pPr>
        <w:pStyle w:val="Abstract"/>
      </w:pPr>
      <w:r>
        <w:t xml:space="preserve">Efficient detection of mineral alteration zones is critical for guiding</w:t>
      </w:r>
      <w:r>
        <w:t xml:space="preserve"> </w:t>
      </w:r>
      <w:r>
        <w:t xml:space="preserve">exploration campaigns in geologically complex terrains. This study</w:t>
      </w:r>
      <w:r>
        <w:t xml:space="preserve"> </w:t>
      </w:r>
      <w:r>
        <w:t xml:space="preserve">presents</w:t>
      </w:r>
      <w:r>
        <w:t xml:space="preserve"> </w:t>
      </w:r>
      <w:r>
        <w:rPr>
          <w:b/>
          <w:bCs/>
        </w:rPr>
        <w:t xml:space="preserve">GeoMinerAI</w:t>
      </w:r>
      <w:r>
        <w:t xml:space="preserve">, an open-source framework that couples a</w:t>
      </w:r>
      <w:r>
        <w:t xml:space="preserve"> </w:t>
      </w:r>
      <w:r>
        <w:t xml:space="preserve">Large Language Model (LLM)-based agent with cloud-based geospatial</w:t>
      </w:r>
      <w:r>
        <w:t xml:space="preserve"> </w:t>
      </w:r>
      <w:r>
        <w:t xml:space="preserve">processing to automate alteration zone mapping on the Jos Plateau,</w:t>
      </w:r>
      <w:r>
        <w:t xml:space="preserve"> </w:t>
      </w:r>
      <w:r>
        <w:t xml:space="preserve">north-central Nigeria. Sentinel-2 Surface Reflectance imagery acquired</w:t>
      </w:r>
      <w:r>
        <w:t xml:space="preserve"> </w:t>
      </w:r>
      <w:r>
        <w:t xml:space="preserve">between January and May 2024 is processed through Google Earth Engine to</w:t>
      </w:r>
      <w:r>
        <w:t xml:space="preserve"> </w:t>
      </w:r>
      <w:r>
        <w:t xml:space="preserve">derive four mineralogically diagnostic spectral indices — Iron Oxide</w:t>
      </w:r>
      <w:r>
        <w:t xml:space="preserve"> </w:t>
      </w:r>
      <w:r>
        <w:t xml:space="preserve">Index (IOI), Clay Mineral Index (CMI), ferrous iron ratio (Fe Ratio)</w:t>
      </w:r>
      <w:r>
        <w:t xml:space="preserve"> </w:t>
      </w:r>
      <w:r>
        <w:t xml:space="preserve">and aluminium hydroxyl index (AlOH Index) — after masking densely</w:t>
      </w:r>
      <w:r>
        <w:t xml:space="preserve"> </w:t>
      </w:r>
      <w:r>
        <w:t xml:space="preserve">vegetated pixels with a Normalised Difference Vegetation Index (NDVI)</w:t>
      </w:r>
      <w:r>
        <w:t xml:space="preserve"> </w:t>
      </w:r>
      <w:r>
        <w:t xml:space="preserve">threshold of 0.3. Principal Component Analysis (PCA) is applied to the</w:t>
      </w:r>
      <w:r>
        <w:t xml:space="preserve"> </w:t>
      </w:r>
      <w:r>
        <w:t xml:space="preserve">spectral bands and to the shortwave infrared (SWIR) subset, yielding</w:t>
      </w:r>
      <w:r>
        <w:t xml:space="preserve"> </w:t>
      </w:r>
      <w:r>
        <w:t xml:space="preserve">five additional features. A Random Forest classifier trained on 189</w:t>
      </w:r>
      <w:r>
        <w:t xml:space="preserve"> </w:t>
      </w:r>
      <w:r>
        <w:t xml:space="preserve">bore-hole locations collected across four field campaigns (ES, EST, BG</w:t>
      </w:r>
      <w:r>
        <w:t xml:space="preserve"> </w:t>
      </w:r>
      <w:r>
        <w:t xml:space="preserve">and BGS) then produces a binary alteration-zone map at 10 m spatial</w:t>
      </w:r>
      <w:r>
        <w:t xml:space="preserve"> </w:t>
      </w:r>
      <w:r>
        <w:t xml:space="preserve">resolution. The entire analytical pipeline is orchestrated by a</w:t>
      </w:r>
      <w:r>
        <w:t xml:space="preserve"> </w:t>
      </w:r>
      <w:r>
        <w:t xml:space="preserve">LangChain agent backed by the DeepSeek-7B language model, allowing users</w:t>
      </w:r>
      <w:r>
        <w:t xml:space="preserve"> </w:t>
      </w:r>
      <w:r>
        <w:t xml:space="preserve">to invoke processing steps through natural-language commands within an</w:t>
      </w:r>
      <w:r>
        <w:t xml:space="preserve"> </w:t>
      </w:r>
      <w:r>
        <w:t xml:space="preserve">interactive Streamlit web interface. Preliminary results delineate</w:t>
      </w:r>
      <w:r>
        <w:t xml:space="preserve"> </w:t>
      </w:r>
      <w:r>
        <w:t xml:space="preserve">spatially coherent alteration zones that align with known tin–columbite</w:t>
      </w:r>
      <w:r>
        <w:t xml:space="preserve"> </w:t>
      </w:r>
      <w:r>
        <w:t xml:space="preserve">mineralisation corridors. The framework demonstrates how conversational</w:t>
      </w:r>
      <w:r>
        <w:t xml:space="preserve"> </w:t>
      </w:r>
      <w:r>
        <w:t xml:space="preserve">AI agents can lower the technical barrier to satellite-based mineral</w:t>
      </w:r>
      <w:r>
        <w:t xml:space="preserve"> </w:t>
      </w:r>
      <w:r>
        <w:t xml:space="preserve">exploration, enabling geoscientists to interrogate remote-sensing</w:t>
      </w:r>
      <w:r>
        <w:t xml:space="preserve"> </w:t>
      </w:r>
      <w:r>
        <w:t xml:space="preserve">workflows without writing code.</w:t>
      </w:r>
    </w:p>
    <w:p>
      <w:pPr>
        <w:pStyle w:val="FirstParagraph"/>
      </w:pPr>
      <w:r>
        <w:rPr>
          <w:b/>
          <w:bCs/>
        </w:rPr>
        <w:t xml:space="preserve">Keywords:</w:t>
      </w:r>
      <w:r>
        <w:t xml:space="preserve"> </w:t>
      </w:r>
      <w:r>
        <w:t xml:space="preserve">mineral exploration; Sentinel-2; Random</w:t>
      </w:r>
      <w:r>
        <w:t xml:space="preserve"> </w:t>
      </w:r>
      <w:r>
        <w:t xml:space="preserve">Forest classification; spectral indices; principal component analysis;</w:t>
      </w:r>
      <w:r>
        <w:t xml:space="preserve"> </w:t>
      </w:r>
      <w:r>
        <w:t xml:space="preserve">Jos Plateau; large language model agent</w:t>
      </w:r>
    </w:p>
    <w:bookmarkStart w:id="9" w:name="introduction"/>
    <w:p>
      <w:pPr>
        <w:pStyle w:val="Heading1"/>
      </w:pPr>
      <w:r>
        <w:rPr>
          <w:b/>
          <w:bCs/>
        </w:rPr>
        <w:t xml:space="preserve">Introduction</w:t>
      </w:r>
    </w:p>
    <w:p>
      <w:pPr>
        <w:pStyle w:val="FirstParagraph"/>
      </w:pPr>
      <w:r>
        <w:t xml:space="preserve">The Jos Plateau in north-central Nigeria has been a locus of tin and</w:t>
      </w:r>
      <w:r>
        <w:t xml:space="preserve"> </w:t>
      </w:r>
      <w:r>
        <w:t xml:space="preserve">columbite mining since the early twentieth century</w:t>
      </w:r>
      <w:r>
        <w:t xml:space="preserve"> </w:t>
      </w:r>
      <w:r>
        <w:t xml:space="preserve">. Although alluvial deposits have</w:t>
      </w:r>
      <w:r>
        <w:t xml:space="preserve"> </w:t>
      </w:r>
      <w:r>
        <w:t xml:space="preserve">been extensively exploited, primary mineralisation hosted in the Younger</w:t>
      </w:r>
      <w:r>
        <w:t xml:space="preserve"> </w:t>
      </w:r>
      <w:r>
        <w:t xml:space="preserve">Granite ring complexes remains under-explored owing to the cost and</w:t>
      </w:r>
      <w:r>
        <w:t xml:space="preserve"> </w:t>
      </w:r>
      <w:r>
        <w:t xml:space="preserve">logistical difficulty of ground-based surveys</w:t>
      </w:r>
      <w:r>
        <w:t xml:space="preserve"> </w:t>
      </w:r>
      <w:r>
        <w:t xml:space="preserve">. Remote sensing offers a cost-effective</w:t>
      </w:r>
      <w:r>
        <w:t xml:space="preserve"> </w:t>
      </w:r>
      <w:r>
        <w:t xml:space="preserve">complement to fieldwork by exploiting diagnostic spectral signatures of</w:t>
      </w:r>
      <w:r>
        <w:t xml:space="preserve"> </w:t>
      </w:r>
      <w:r>
        <w:t xml:space="preserve">alteration minerals — principally iron oxides and hydroxyl-bearing</w:t>
      </w:r>
      <w:r>
        <w:t xml:space="preserve"> </w:t>
      </w:r>
      <w:r>
        <w:t xml:space="preserve">clays — that accompany hydrothermal mineralisation systems</w:t>
      </w:r>
      <w:r>
        <w:t xml:space="preserve"> </w:t>
      </w:r>
      <w:r>
        <w:t xml:space="preserve">.</w:t>
      </w:r>
    </w:p>
    <w:p>
      <w:pPr>
        <w:pStyle w:val="BodyText"/>
      </w:pPr>
      <w:r>
        <w:t xml:space="preserve">Multispectral sensors such as the Copernicus Sentinel-2 mission provide</w:t>
      </w:r>
      <w:r>
        <w:t xml:space="preserve"> </w:t>
      </w:r>
      <w:r>
        <w:t xml:space="preserve">freely available imagery at up to 10 m spatial resolution with a</w:t>
      </w:r>
      <w:r>
        <w:t xml:space="preserve"> </w:t>
      </w:r>
      <w:r>
        <w:t xml:space="preserve">five-day revisit cycle, making them well suited to regional-scale</w:t>
      </w:r>
      <w:r>
        <w:t xml:space="preserve"> </w:t>
      </w:r>
      <w:r>
        <w:t xml:space="preserve">alteration mapping</w:t>
      </w:r>
      <w:r>
        <w:t xml:space="preserve"> </w:t>
      </w:r>
      <w:r>
        <w:t xml:space="preserve">. Sentinel-2 carries 13</w:t>
      </w:r>
      <w:r>
        <w:t xml:space="preserve"> </w:t>
      </w:r>
      <w:r>
        <w:t xml:space="preserve">spectral bands spanning the visible, near-infrared (NIR) and shortwave</w:t>
      </w:r>
      <w:r>
        <w:t xml:space="preserve"> </w:t>
      </w:r>
      <w:r>
        <w:t xml:space="preserve">infrared (SWIR) regions, enabling computation of band-ratio indices</w:t>
      </w:r>
      <w:r>
        <w:t xml:space="preserve"> </w:t>
      </w:r>
      <w:r>
        <w:t xml:space="preserve">sensitive to ferric and ferrous iron oxides and to Al–OH and Mg–OH</w:t>
      </w:r>
      <w:r>
        <w:t xml:space="preserve"> </w:t>
      </w:r>
      <w:r>
        <w:t xml:space="preserve">absorption features</w:t>
      </w:r>
      <w:r>
        <w:t xml:space="preserve"> </w:t>
      </w:r>
      <w:r>
        <w:t xml:space="preserve">.</w:t>
      </w:r>
    </w:p>
    <w:p>
      <w:pPr>
        <w:pStyle w:val="BodyText"/>
      </w:pPr>
      <w:r>
        <w:t xml:space="preserve">Machine learning classifiers, particularly ensemble methods such as</w:t>
      </w:r>
      <w:r>
        <w:t xml:space="preserve"> </w:t>
      </w:r>
      <w:r>
        <w:t xml:space="preserve">Random Forest</w:t>
      </w:r>
      <w:r>
        <w:t xml:space="preserve"> </w:t>
      </w:r>
      <w:r>
        <w:t xml:space="preserve">, have gained prominence in</w:t>
      </w:r>
      <w:r>
        <w:t xml:space="preserve"> </w:t>
      </w:r>
      <w:r>
        <w:t xml:space="preserve">geological remote sensing because they handle non-linear spectral</w:t>
      </w:r>
      <w:r>
        <w:t xml:space="preserve"> </w:t>
      </w:r>
      <w:r>
        <w:t xml:space="preserve">relationships, tolerate correlated features and provide</w:t>
      </w:r>
      <w:r>
        <w:t xml:space="preserve"> </w:t>
      </w:r>
      <w:r>
        <w:t xml:space="preserve">feature-importance rankings</w:t>
      </w:r>
      <w:r>
        <w:t xml:space="preserve"> </w:t>
      </w:r>
      <w:r>
        <w:t xml:space="preserve">. When</w:t>
      </w:r>
      <w:r>
        <w:t xml:space="preserve"> </w:t>
      </w:r>
      <w:r>
        <w:t xml:space="preserve">combined with dimensionality-reduction techniques such as Principal</w:t>
      </w:r>
      <w:r>
        <w:t xml:space="preserve"> </w:t>
      </w:r>
      <w:r>
        <w:t xml:space="preserve">Component Analysis (PCA), Random Forest classifiers can exploit</w:t>
      </w:r>
      <w:r>
        <w:t xml:space="preserve"> </w:t>
      </w:r>
      <w:r>
        <w:t xml:space="preserve">subtle spectral contrasts that are obscured in the original band space</w:t>
      </w:r>
      <w:r>
        <w:t xml:space="preserve"> </w:t>
      </w:r>
      <w:r>
        <w:t xml:space="preserve">.</w:t>
      </w:r>
    </w:p>
    <w:p>
      <w:pPr>
        <w:pStyle w:val="BodyText"/>
      </w:pPr>
      <w:r>
        <w:t xml:space="preserve">Despite these advances, the typical remote-sensing workflow remains</w:t>
      </w:r>
      <w:r>
        <w:t xml:space="preserve"> </w:t>
      </w:r>
      <w:r>
        <w:t xml:space="preserve">script-centric and demands proficiency in geospatial programming,</w:t>
      </w:r>
      <w:r>
        <w:t xml:space="preserve"> </w:t>
      </w:r>
      <w:r>
        <w:t xml:space="preserve">limiting accessibility for field geologists. Recent developments in</w:t>
      </w:r>
      <w:r>
        <w:t xml:space="preserve"> </w:t>
      </w:r>
      <w:r>
        <w:t xml:space="preserve">Large Language Models (LLMs) and autonomous agent frameworks offer a</w:t>
      </w:r>
      <w:r>
        <w:t xml:space="preserve"> </w:t>
      </w:r>
      <w:r>
        <w:t xml:space="preserve">pathway to natural-language-driven scientific computing</w:t>
      </w:r>
      <w:r>
        <w:t xml:space="preserve"> </w:t>
      </w:r>
      <w:r>
        <w:t xml:space="preserve">. Frameworks such as LangChain</w:t>
      </w:r>
      <w:r>
        <w:t xml:space="preserve"> </w:t>
      </w:r>
      <w:r>
        <w:t xml:space="preserve"> </w:t>
      </w:r>
      <w:r>
        <w:t xml:space="preserve">enable LLMs to reason about which computational tool</w:t>
      </w:r>
      <w:r>
        <w:t xml:space="preserve"> </w:t>
      </w:r>
      <w:r>
        <w:t xml:space="preserve">to invoke, effectively translating a user’s intent into a sequence of</w:t>
      </w:r>
      <w:r>
        <w:t xml:space="preserve"> </w:t>
      </w:r>
      <w:r>
        <w:t xml:space="preserve">API calls.</w:t>
      </w:r>
    </w:p>
    <w:p>
      <w:pPr>
        <w:pStyle w:val="BodyText"/>
      </w:pPr>
      <w:r>
        <w:t xml:space="preserve">This paper presents</w:t>
      </w:r>
      <w:r>
        <w:t xml:space="preserve"> </w:t>
      </w:r>
      <w:r>
        <w:rPr>
          <w:b/>
          <w:bCs/>
        </w:rPr>
        <w:t xml:space="preserve">GeoMinerAI</w:t>
      </w:r>
      <w:r>
        <w:t xml:space="preserve">, a prototype system that</w:t>
      </w:r>
      <w:r>
        <w:t xml:space="preserve"> </w:t>
      </w:r>
      <w:r>
        <w:t xml:space="preserve">integrates an LLM-based agent with Google Earth Engine processing and</w:t>
      </w:r>
      <w:r>
        <w:t xml:space="preserve"> </w:t>
      </w:r>
      <w:r>
        <w:t xml:space="preserve">Random Forest classification to deliver an end-to-end,</w:t>
      </w:r>
      <w:r>
        <w:t xml:space="preserve"> </w:t>
      </w:r>
      <w:r>
        <w:t xml:space="preserve">conversation-driven mineral alteration mapping workflow. The objectives</w:t>
      </w:r>
      <w:r>
        <w:t xml:space="preserve"> </w:t>
      </w:r>
      <w:r>
        <w:t xml:space="preserve">of this study are to:</w:t>
      </w:r>
    </w:p>
    <w:p>
      <w:pPr>
        <w:numPr>
          <w:ilvl w:val="0"/>
          <w:numId w:val="1001"/>
        </w:numPr>
      </w:pPr>
      <w:r>
        <w:t xml:space="preserve">develop a set of spectral indices and PCA features optimised for</w:t>
      </w:r>
      <w:r>
        <w:t xml:space="preserve"> </w:t>
      </w:r>
      <w:r>
        <w:t xml:space="preserve">alteration detection on the Jos Plateau;</w:t>
      </w:r>
    </w:p>
    <w:p>
      <w:pPr>
        <w:numPr>
          <w:ilvl w:val="0"/>
          <w:numId w:val="1001"/>
        </w:numPr>
      </w:pPr>
      <w:r>
        <w:t xml:space="preserve">train and evaluate a Random Forest classifier using bore-hole</w:t>
      </w:r>
      <w:r>
        <w:t xml:space="preserve"> </w:t>
      </w:r>
      <w:r>
        <w:t xml:space="preserve">field data; and</w:t>
      </w:r>
    </w:p>
    <w:p>
      <w:pPr>
        <w:numPr>
          <w:ilvl w:val="0"/>
          <w:numId w:val="1001"/>
        </w:numPr>
      </w:pPr>
      <w:r>
        <w:t xml:space="preserve">demonstrate that an LLM agent can reliably orchestrate the</w:t>
      </w:r>
      <w:r>
        <w:t xml:space="preserve"> </w:t>
      </w:r>
      <w:r>
        <w:t xml:space="preserve">processing chain through natural-language interaction.</w:t>
      </w:r>
    </w:p>
    <w:bookmarkEnd w:id="9"/>
    <w:bookmarkStart w:id="11" w:name="study-area"/>
    <w:p>
      <w:pPr>
        <w:pStyle w:val="Heading1"/>
      </w:pPr>
      <w:r>
        <w:rPr>
          <w:b/>
          <w:bCs/>
        </w:rPr>
        <w:t xml:space="preserve">Study area</w:t>
      </w:r>
    </w:p>
    <w:p>
      <w:pPr>
        <w:pStyle w:val="FirstParagraph"/>
      </w:pPr>
      <w:r>
        <w:t xml:space="preserve">The study area is situated on the Jos Plateau, Plateau State,</w:t>
      </w:r>
      <w:r>
        <w:t xml:space="preserve"> </w:t>
      </w:r>
      <w:r>
        <w:t xml:space="preserve">north-central Nigeria, within the bounding coordinates</w:t>
      </w:r>
      <w:r>
        <w:t xml:space="preserve"> </w:t>
      </w:r>
      <w:r>
        <w:t xml:space="preserve">8.982°–9.024° E and</w:t>
      </w:r>
      <w:r>
        <w:t xml:space="preserve"> </w:t>
      </w:r>
      <w:r>
        <w:t xml:space="preserve">10.562°–10.645° N (figure </w:t>
      </w:r>
      <w:hyperlink w:anchor="fig:study_area">
        <w:r>
          <w:rPr>
            <w:rStyle w:val="Hyperlink"/>
          </w:rPr>
          <w:t xml:space="preserve">1</w:t>
        </w:r>
      </w:hyperlink>
      <w:r>
        <w:t xml:space="preserve">).</w:t>
      </w:r>
      <w:r>
        <w:t xml:space="preserve"> </w:t>
      </w:r>
      <w:r>
        <w:t xml:space="preserve">The area covers approximately 42 km</w:t>
      </w:r>
      <m:oMath>
        <m:sSup>
          <m:e>
            <m:r>
              <m:t>​</m:t>
            </m:r>
          </m:e>
          <m:sup>
            <m:r>
              <m:t>2</m:t>
            </m:r>
          </m:sup>
        </m:sSup>
      </m:oMath>
      <w:r>
        <w:t xml:space="preserve"> </w:t>
      </w:r>
      <w:r>
        <w:t xml:space="preserve">and lies at elevations</w:t>
      </w:r>
      <w:r>
        <w:t xml:space="preserve"> </w:t>
      </w:r>
      <w:r>
        <w:t xml:space="preserve">between 777 and 863 m above sea level.</w:t>
      </w:r>
    </w:p>
    <w:p>
      <w:pPr>
        <w:pStyle w:val="BodyText"/>
      </w:pPr>
      <w:r>
        <w:t xml:space="preserve">Geologically, the Jos Plateau is dominated by Precambrian basement rocks</w:t>
      </w:r>
      <w:r>
        <w:t xml:space="preserve"> </w:t>
      </w:r>
      <w:r>
        <w:t xml:space="preserve">comprising migmatites, gneisses and older granites, intruded by the</w:t>
      </w:r>
      <w:r>
        <w:t xml:space="preserve"> </w:t>
      </w:r>
      <w:r>
        <w:t xml:space="preserve">Jurassic Younger Granite ring complexes</w:t>
      </w:r>
      <w:r>
        <w:t xml:space="preserve"> </w:t>
      </w:r>
      <w:r>
        <w:t xml:space="preserve">.</w:t>
      </w:r>
      <w:r>
        <w:t xml:space="preserve"> </w:t>
      </w:r>
      <w:r>
        <w:t xml:space="preserve">These anorogenic granites are genetically associated with</w:t>
      </w:r>
      <w:r>
        <w:t xml:space="preserve"> </w:t>
      </w:r>
      <w:r>
        <w:t xml:space="preserve">tin–columbite–tantalite mineralisation hosted in greisenised zones,</w:t>
      </w:r>
      <w:r>
        <w:t xml:space="preserve"> </w:t>
      </w:r>
      <w:r>
        <w:t xml:space="preserve">pegmatites and alluvial placers</w:t>
      </w:r>
      <w:r>
        <w:t xml:space="preserve"> </w:t>
      </w:r>
      <w:r>
        <w:t xml:space="preserve">. Hydrothermal</w:t>
      </w:r>
      <w:r>
        <w:t xml:space="preserve"> </w:t>
      </w:r>
      <w:r>
        <w:t xml:space="preserve">alteration associated with the emplacement of the Younger Granites has</w:t>
      </w:r>
      <w:r>
        <w:t xml:space="preserve"> </w:t>
      </w:r>
      <w:r>
        <w:t xml:space="preserve">produced zones enriched in iron oxides (hematite, goethite) and</w:t>
      </w:r>
      <w:r>
        <w:t xml:space="preserve"> </w:t>
      </w:r>
      <w:r>
        <w:t xml:space="preserve">hydroxyl-bearing clay minerals (kaolinite, sericite, chlorite) that</w:t>
      </w:r>
      <w:r>
        <w:t xml:space="preserve"> </w:t>
      </w:r>
      <w:r>
        <w:t xml:space="preserve">serve as pathfinder indicators for primary mineralisation</w:t>
      </w:r>
      <w:r>
        <w:t xml:space="preserve"> </w:t>
      </w:r>
      <w:r>
        <w:t xml:space="preserve">.</w:t>
      </w:r>
    </w:p>
    <w:p>
      <w:pPr>
        <w:pStyle w:val="BodyText"/>
      </w:pPr>
      <w:r>
        <w:t xml:space="preserve">The climate is tropical sub-humid with a mean annual rainfall of</w:t>
      </w:r>
      <w:r>
        <w:t xml:space="preserve"> </w:t>
      </w:r>
      <w:r>
        <w:t xml:space="preserve">approximately 1400 mm and a distinct dry season from November to March</w:t>
      </w:r>
      <w:r>
        <w:t xml:space="preserve"> </w:t>
      </w:r>
      <w:r>
        <w:t xml:space="preserve">. Vegetation cover is predominantly Guinea savanna</w:t>
      </w:r>
      <w:r>
        <w:t xml:space="preserve"> </w:t>
      </w:r>
      <w:r>
        <w:t xml:space="preserve">grassland with scattered woodland, which can mask the spectral response</w:t>
      </w:r>
      <w:r>
        <w:t xml:space="preserve"> </w:t>
      </w:r>
      <w:r>
        <w:t xml:space="preserve">of underlying lithology. Dry-season imagery (January–May) was therefore</w:t>
      </w:r>
      <w:r>
        <w:t xml:space="preserve"> </w:t>
      </w:r>
      <w:r>
        <w:t xml:space="preserve">selected to minimise vegetation interference.</w:t>
      </w:r>
    </w:p>
    <w:bookmarkStart w:id="10" w:name="fig:study_area"/>
    <w:tbl>
      <w:tblPr>
        <w:tblStyle w:val="FigureTable"/>
        <w:tblW w:type="auto" w:w="0"/>
        <w:jc w:val="center"/>
        <w:tblLook w:firstRow="0" w:lastRow="0" w:firstColumn="0" w:lastColumn="0"/>
      </w:tblPr>
      <w:tblGrid/>
    </w:tbl>
    <w:p>
      <w:pPr>
        <w:pStyle w:val="ImageCaption"/>
      </w:pPr>
      <w:r>
        <w:t xml:space="preserve">Location of the study area on the Jos Plateau, Nigeria,</w:t>
      </w:r>
      <w:r>
        <w:t xml:space="preserve"> </w:t>
      </w:r>
      <w:r>
        <w:t xml:space="preserve">showing the distribution of 189 bore-hole sites from the ES, EST, BG</w:t>
      </w:r>
      <w:r>
        <w:t xml:space="preserve"> </w:t>
      </w:r>
      <w:r>
        <w:t xml:space="preserve">and BGS field campaigns. Inset: position within Nigeria.</w:t>
      </w:r>
    </w:p>
    <w:bookmarkEnd w:id="10"/>
    <w:bookmarkEnd w:id="11"/>
    <w:bookmarkStart w:id="25" w:name="data-and-methods"/>
    <w:p>
      <w:pPr>
        <w:pStyle w:val="Heading1"/>
      </w:pPr>
      <w:r>
        <w:rPr>
          <w:b/>
          <w:bCs/>
        </w:rPr>
        <w:t xml:space="preserve">Data and methods</w:t>
      </w:r>
    </w:p>
    <w:bookmarkStart w:id="13" w:name="X7b7340efe26a647def3e0a73292873d36851102"/>
    <w:p>
      <w:pPr>
        <w:pStyle w:val="Heading2"/>
      </w:pPr>
      <w:r>
        <w:rPr>
          <w:i/>
          <w:iCs/>
        </w:rPr>
        <w:t xml:space="preserve">Satellite data</w:t>
      </w:r>
      <w:r>
        <w:rPr>
          <w:i/>
          <w:iCs/>
        </w:rPr>
        <w:t xml:space="preserve"> </w:t>
      </w:r>
      <w:r>
        <w:rPr>
          <w:i/>
          <w:iCs/>
        </w:rPr>
        <w:t xml:space="preserve">acquisition and pre-processing</w:t>
      </w:r>
    </w:p>
    <w:p>
      <w:pPr>
        <w:pStyle w:val="FirstParagraph"/>
      </w:pPr>
      <w:r>
        <w:t xml:space="preserve">Sentinel-2 Level-2A Surface Reflectance (SR) imagery was accessed via</w:t>
      </w:r>
      <w:r>
        <w:t xml:space="preserve"> </w:t>
      </w:r>
      <w:r>
        <w:t xml:space="preserve">the</w:t>
      </w:r>
      <w:r>
        <w:t xml:space="preserve"> </w:t>
      </w:r>
      <w:r>
        <w:rPr>
          <w:rStyle w:val="VerbatimChar"/>
        </w:rPr>
        <w:t xml:space="preserve">COPERNICUS/S2_SR_HARMONIZED</w:t>
      </w:r>
      <w:r>
        <w:t xml:space="preserve"> </w:t>
      </w:r>
      <w:r>
        <w:t xml:space="preserve">collection on Google Earth</w:t>
      </w:r>
      <w:r>
        <w:t xml:space="preserve"> </w:t>
      </w:r>
      <w:r>
        <w:t xml:space="preserve">Engine</w:t>
      </w:r>
      <w:r>
        <w:t xml:space="preserve"> </w:t>
      </w:r>
      <w:r>
        <w:t xml:space="preserve">. Images were filtered to the study-area</w:t>
      </w:r>
      <w:r>
        <w:t xml:space="preserve"> </w:t>
      </w:r>
      <w:r>
        <w:t xml:space="preserve">bounding box and to the acquisition window 1 January–1 May 2024.</w:t>
      </w:r>
      <w:r>
        <w:t xml:space="preserve"> </w:t>
      </w:r>
      <w:r>
        <w:t xml:space="preserve">A cloud-cover threshold of less than 10% on the</w:t>
      </w:r>
      <w:r>
        <w:t xml:space="preserve"> </w:t>
      </w:r>
      <w:r>
        <w:rPr>
          <w:rStyle w:val="VerbatimChar"/>
        </w:rPr>
        <w:t xml:space="preserve">CLOUDY_PIXEL_PERCENTAGE</w:t>
      </w:r>
      <w:r>
        <w:t xml:space="preserve"> </w:t>
      </w:r>
      <w:r>
        <w:t xml:space="preserve">metadata field was applied.</w:t>
      </w:r>
      <w:r>
        <w:t xml:space="preserve"> </w:t>
      </w:r>
      <w:r>
        <w:t xml:space="preserve">A per-pixel median composite was then generated to suppress residual</w:t>
      </w:r>
      <w:r>
        <w:t xml:space="preserve"> </w:t>
      </w:r>
      <w:r>
        <w:t xml:space="preserve">cloud and shadow artefacts</w:t>
      </w:r>
      <w:r>
        <w:t xml:space="preserve"> </w:t>
      </w:r>
      <w:r>
        <w:t xml:space="preserve">. The composite was clipped</w:t>
      </w:r>
      <w:r>
        <w:t xml:space="preserve"> </w:t>
      </w:r>
      <w:r>
        <w:t xml:space="preserve">to the area of interest (AOI). Six spectral bands were retained for</w:t>
      </w:r>
      <w:r>
        <w:t xml:space="preserve"> </w:t>
      </w:r>
      <w:r>
        <w:t xml:space="preserve">subsequent analysis (table </w:t>
      </w:r>
      <w:hyperlink w:anchor="tab:bands">
        <w:r>
          <w:rPr>
            <w:rStyle w:val="Hyperlink"/>
          </w:rPr>
          <w:t xml:space="preserve">1</w:t>
        </w:r>
      </w:hyperlink>
      <w:r>
        <w:t xml:space="preserve">).</w:t>
      </w:r>
    </w:p>
    <w:bookmarkStart w:id="12" w:name="tab:bands"/>
    <w:p>
      <w:pPr>
        <w:pStyle w:val="TableCaption"/>
      </w:pPr>
      <w:r>
        <w:t xml:space="preserve">Sentinel-2 spectral bands used in this study.</w:t>
      </w:r>
    </w:p>
    <w:tbl>
      <w:tblPr>
        <w:tblStyle w:val="Table"/>
        <w:tblW w:type="auto" w:w="0"/>
        <w:tblLook w:firstRow="1" w:lastRow="0" w:firstColumn="0" w:lastColumn="0" w:noHBand="0" w:noVBand="0" w:val="0020"/>
        <w:tblCaption w:val="Sentinel-2 spectral bands used in this study."/>
      </w:tblPr>
      <w:tblGrid>
        <w:gridCol w:w="1980"/>
        <w:gridCol w:w="1980"/>
        <w:gridCol w:w="1980"/>
        <w:gridCol w:w="1980"/>
      </w:tblGrid>
      <w:tr>
        <w:trPr>
          <w:tblHeader w:val="on"/>
        </w:trPr>
        <w:tc>
          <w:tcPr/>
          <w:p>
            <w:pPr>
              <w:pStyle w:val="Compact"/>
              <w:jc w:val="left"/>
            </w:pPr>
            <w:r>
              <w:t xml:space="preserve">Band</w:t>
            </w:r>
          </w:p>
        </w:tc>
        <w:tc>
          <w:tcPr/>
          <w:p>
            <w:pPr>
              <w:pStyle w:val="Compact"/>
              <w:jc w:val="left"/>
            </w:pPr>
            <w:r>
              <w:t xml:space="preserve">Central wavelength (nm)</w:t>
            </w:r>
          </w:p>
        </w:tc>
        <w:tc>
          <w:tcPr/>
          <w:p>
            <w:pPr>
              <w:pStyle w:val="Compact"/>
              <w:jc w:val="left"/>
            </w:pPr>
            <w:r>
              <w:t xml:space="preserve">Spatial resolution (m)</w:t>
            </w:r>
          </w:p>
        </w:tc>
        <w:tc>
          <w:tcPr/>
          <w:p>
            <w:pPr>
              <w:pStyle w:val="Compact"/>
              <w:jc w:val="left"/>
            </w:pPr>
            <w:r>
              <w:t xml:space="preserve">Spectral region</w:t>
            </w:r>
          </w:p>
        </w:tc>
      </w:tr>
      <w:tr>
        <w:tc>
          <w:tcPr/>
          <w:p>
            <w:pPr>
              <w:pStyle w:val="Compact"/>
              <w:jc w:val="left"/>
            </w:pPr>
            <w:r>
              <w:t xml:space="preserve">B2</w:t>
            </w:r>
          </w:p>
        </w:tc>
        <w:tc>
          <w:tcPr/>
          <w:p>
            <w:pPr>
              <w:pStyle w:val="Compact"/>
              <w:jc w:val="left"/>
            </w:pPr>
            <w:r>
              <w:t xml:space="preserve">490</w:t>
            </w:r>
          </w:p>
        </w:tc>
        <w:tc>
          <w:tcPr/>
          <w:p>
            <w:pPr>
              <w:pStyle w:val="Compact"/>
              <w:jc w:val="left"/>
            </w:pPr>
            <w:r>
              <w:t xml:space="preserve">10</w:t>
            </w:r>
          </w:p>
        </w:tc>
        <w:tc>
          <w:tcPr/>
          <w:p>
            <w:pPr>
              <w:pStyle w:val="Compact"/>
              <w:jc w:val="left"/>
            </w:pPr>
            <w:r>
              <w:t xml:space="preserve">Blue (visible)</w:t>
            </w:r>
          </w:p>
        </w:tc>
      </w:tr>
      <w:tr>
        <w:tc>
          <w:tcPr/>
          <w:p>
            <w:pPr>
              <w:pStyle w:val="Compact"/>
              <w:jc w:val="left"/>
            </w:pPr>
            <w:r>
              <w:t xml:space="preserve">B3</w:t>
            </w:r>
          </w:p>
        </w:tc>
        <w:tc>
          <w:tcPr/>
          <w:p>
            <w:pPr>
              <w:pStyle w:val="Compact"/>
              <w:jc w:val="left"/>
            </w:pPr>
            <w:r>
              <w:t xml:space="preserve">560</w:t>
            </w:r>
          </w:p>
        </w:tc>
        <w:tc>
          <w:tcPr/>
          <w:p>
            <w:pPr>
              <w:pStyle w:val="Compact"/>
              <w:jc w:val="left"/>
            </w:pPr>
            <w:r>
              <w:t xml:space="preserve">10</w:t>
            </w:r>
          </w:p>
        </w:tc>
        <w:tc>
          <w:tcPr/>
          <w:p>
            <w:pPr>
              <w:pStyle w:val="Compact"/>
              <w:jc w:val="left"/>
            </w:pPr>
            <w:r>
              <w:t xml:space="preserve">Green (visible)</w:t>
            </w:r>
          </w:p>
        </w:tc>
      </w:tr>
      <w:tr>
        <w:tc>
          <w:tcPr/>
          <w:p>
            <w:pPr>
              <w:pStyle w:val="Compact"/>
              <w:jc w:val="left"/>
            </w:pPr>
            <w:r>
              <w:t xml:space="preserve">B4</w:t>
            </w:r>
          </w:p>
        </w:tc>
        <w:tc>
          <w:tcPr/>
          <w:p>
            <w:pPr>
              <w:pStyle w:val="Compact"/>
              <w:jc w:val="left"/>
            </w:pPr>
            <w:r>
              <w:t xml:space="preserve">665</w:t>
            </w:r>
          </w:p>
        </w:tc>
        <w:tc>
          <w:tcPr/>
          <w:p>
            <w:pPr>
              <w:pStyle w:val="Compact"/>
              <w:jc w:val="left"/>
            </w:pPr>
            <w:r>
              <w:t xml:space="preserve">10</w:t>
            </w:r>
          </w:p>
        </w:tc>
        <w:tc>
          <w:tcPr/>
          <w:p>
            <w:pPr>
              <w:pStyle w:val="Compact"/>
              <w:jc w:val="left"/>
            </w:pPr>
            <w:r>
              <w:t xml:space="preserve">Red (visible)</w:t>
            </w:r>
          </w:p>
        </w:tc>
      </w:tr>
      <w:tr>
        <w:tc>
          <w:tcPr/>
          <w:p>
            <w:pPr>
              <w:pStyle w:val="Compact"/>
              <w:jc w:val="left"/>
            </w:pPr>
            <w:r>
              <w:t xml:space="preserve">B8</w:t>
            </w:r>
          </w:p>
        </w:tc>
        <w:tc>
          <w:tcPr/>
          <w:p>
            <w:pPr>
              <w:pStyle w:val="Compact"/>
              <w:jc w:val="left"/>
            </w:pPr>
            <w:r>
              <w:t xml:space="preserve">842</w:t>
            </w:r>
          </w:p>
        </w:tc>
        <w:tc>
          <w:tcPr/>
          <w:p>
            <w:pPr>
              <w:pStyle w:val="Compact"/>
              <w:jc w:val="left"/>
            </w:pPr>
            <w:r>
              <w:t xml:space="preserve">10</w:t>
            </w:r>
          </w:p>
        </w:tc>
        <w:tc>
          <w:tcPr/>
          <w:p>
            <w:pPr>
              <w:pStyle w:val="Compact"/>
              <w:jc w:val="left"/>
            </w:pPr>
            <w:r>
              <w:t xml:space="preserve">Near-infrared (NIR)</w:t>
            </w:r>
          </w:p>
        </w:tc>
      </w:tr>
      <w:tr>
        <w:tc>
          <w:tcPr/>
          <w:p>
            <w:pPr>
              <w:pStyle w:val="Compact"/>
              <w:jc w:val="left"/>
            </w:pPr>
            <w:r>
              <w:t xml:space="preserve">B11</w:t>
            </w:r>
          </w:p>
        </w:tc>
        <w:tc>
          <w:tcPr/>
          <w:p>
            <w:pPr>
              <w:pStyle w:val="Compact"/>
              <w:jc w:val="left"/>
            </w:pPr>
            <w:r>
              <w:t xml:space="preserve">1610</w:t>
            </w:r>
          </w:p>
        </w:tc>
        <w:tc>
          <w:tcPr/>
          <w:p>
            <w:pPr>
              <w:pStyle w:val="Compact"/>
              <w:jc w:val="left"/>
            </w:pPr>
            <w:r>
              <w:t xml:space="preserve">20</w:t>
            </w:r>
          </w:p>
        </w:tc>
        <w:tc>
          <w:tcPr/>
          <w:p>
            <w:pPr>
              <w:pStyle w:val="Compact"/>
              <w:jc w:val="left"/>
            </w:pPr>
            <w:r>
              <w:t xml:space="preserve">Shortwave infrared 1 (SWIR-1)</w:t>
            </w:r>
          </w:p>
        </w:tc>
      </w:tr>
      <w:tr>
        <w:tc>
          <w:tcPr/>
          <w:p>
            <w:pPr>
              <w:pStyle w:val="Compact"/>
              <w:jc w:val="left"/>
            </w:pPr>
            <w:r>
              <w:t xml:space="preserve">B12</w:t>
            </w:r>
          </w:p>
        </w:tc>
        <w:tc>
          <w:tcPr/>
          <w:p>
            <w:pPr>
              <w:pStyle w:val="Compact"/>
              <w:jc w:val="left"/>
            </w:pPr>
            <w:r>
              <w:t xml:space="preserve">2190</w:t>
            </w:r>
          </w:p>
        </w:tc>
        <w:tc>
          <w:tcPr/>
          <w:p>
            <w:pPr>
              <w:pStyle w:val="Compact"/>
              <w:jc w:val="left"/>
            </w:pPr>
            <w:r>
              <w:t xml:space="preserve">20</w:t>
            </w:r>
          </w:p>
        </w:tc>
        <w:tc>
          <w:tcPr/>
          <w:p>
            <w:pPr>
              <w:pStyle w:val="Compact"/>
              <w:jc w:val="left"/>
            </w:pPr>
            <w:r>
              <w:t xml:space="preserve">Shortwave infrared 2 (SWIR-2)</w:t>
            </w:r>
          </w:p>
        </w:tc>
      </w:tr>
    </w:tbl>
    <w:bookmarkEnd w:id="12"/>
    <w:bookmarkEnd w:id="13"/>
    <w:bookmarkStart w:id="15" w:name="spectral-indices"/>
    <w:p>
      <w:pPr>
        <w:pStyle w:val="Heading2"/>
      </w:pPr>
      <w:r>
        <w:rPr>
          <w:i/>
          <w:iCs/>
        </w:rPr>
        <w:t xml:space="preserve">Spectral indices</w:t>
      </w:r>
    </w:p>
    <w:p>
      <w:pPr>
        <w:pStyle w:val="FirstParagraph"/>
      </w:pPr>
      <w:r>
        <w:t xml:space="preserve">Four mineralogically diagnostic spectral indices were computed from the</w:t>
      </w:r>
      <w:r>
        <w:t xml:space="preserve"> </w:t>
      </w:r>
      <w:r>
        <w:t xml:space="preserve">median composite (table </w:t>
      </w:r>
      <w:hyperlink w:anchor="tab:indices">
        <w:r>
          <w:rPr>
            <w:rStyle w:val="Hyperlink"/>
          </w:rPr>
          <w:t xml:space="preserve">2</w:t>
        </w:r>
      </w:hyperlink>
      <w:r>
        <w:t xml:space="preserve">). All indices were masked to</w:t>
      </w:r>
      <w:r>
        <w:t xml:space="preserve"> </w:t>
      </w:r>
      <w:r>
        <w:t xml:space="preserve">exclude densely vegetated pixels using a Normalised Difference</w:t>
      </w:r>
      <w:r>
        <w:t xml:space="preserve"> </w:t>
      </w:r>
      <w:r>
        <w:t xml:space="preserve">Vegetation Index (NDVI) threshold:</w:t>
      </w:r>
    </w:p>
    <w:p>
      <w:pPr>
        <w:pStyle w:val="BodyText"/>
      </w:pPr>
      <m:oMathPara>
        <m:oMathParaPr>
          <m:jc m:val="center"/>
        </m:oMathParaPr>
        <m:oMath>
          <m:r>
            <m:rPr>
              <m:sty m:val="p"/>
            </m:rPr>
            <m:t>N</m:t>
          </m:r>
          <m:r>
            <m:rPr>
              <m:sty m:val="p"/>
            </m:rPr>
            <m:t>D</m:t>
          </m:r>
          <m:r>
            <m:rPr>
              <m:sty m:val="p"/>
            </m:rPr>
            <m:t>V</m:t>
          </m:r>
          <m:r>
            <m:rPr>
              <m:sty m:val="p"/>
            </m:rPr>
            <m:t>I</m:t>
          </m:r>
          <m:r>
            <m:rPr>
              <m:sty m:val="p"/>
            </m:rPr>
            <m:t>=</m:t>
          </m:r>
          <m:f>
            <m:fPr>
              <m:type m:val="bar"/>
            </m:fPr>
            <m:num>
              <m:r>
                <m:t>B</m:t>
              </m:r>
              <m:r>
                <m:t>8</m:t>
              </m:r>
              <m:r>
                <m:rPr>
                  <m:sty m:val="p"/>
                </m:rPr>
                <m:t>−</m:t>
              </m:r>
              <m:r>
                <m:t>B</m:t>
              </m:r>
              <m:r>
                <m:t>4</m:t>
              </m:r>
            </m:num>
            <m:den>
              <m:r>
                <m:t>B</m:t>
              </m:r>
              <m:r>
                <m:t>8</m:t>
              </m:r>
              <m:r>
                <m:rPr>
                  <m:sty m:val="p"/>
                </m:rPr>
                <m:t>+</m:t>
              </m:r>
              <m:r>
                <m:t>B</m:t>
              </m:r>
              <m:r>
                <m:t>4</m:t>
              </m:r>
            </m:den>
          </m:f>
          <m:r>
            <m:t> </m:t>
          </m:r>
          <m:r>
            <m:rPr>
              <m:sty m:val="p"/>
            </m:rPr>
            <m:t>,</m:t>
          </m:r>
          <m:r>
            <m:t> </m:t>
          </m:r>
          <m:r>
            <m:rPr>
              <m:nor/>
              <m:sty m:val="p"/>
            </m:rPr>
            <m:t>mask applied where </m:t>
          </m:r>
          <m:r>
            <m:rPr>
              <m:sty m:val="p"/>
            </m:rPr>
            <m:t>N</m:t>
          </m:r>
          <m:r>
            <m:rPr>
              <m:sty m:val="p"/>
            </m:rPr>
            <m:t>D</m:t>
          </m:r>
          <m:r>
            <m:rPr>
              <m:sty m:val="p"/>
            </m:rPr>
            <m:t>V</m:t>
          </m:r>
          <m:r>
            <m:rPr>
              <m:sty m:val="p"/>
            </m:rPr>
            <m:t>I</m:t>
          </m:r>
          <m:r>
            <m:rPr>
              <m:sty m:val="p"/>
            </m:rPr>
            <m:t>&lt;</m:t>
          </m:r>
          <m:r>
            <m:t>0.3</m:t>
          </m:r>
          <m:r>
            <m:t> </m:t>
          </m:r>
          <m:r>
            <m:rPr>
              <m:sty m:val="p"/>
            </m:rPr>
            <m:t>.</m:t>
          </m:r>
        </m:oMath>
      </m:oMathPara>
    </w:p>
    <w:p>
      <w:pPr>
        <w:pStyle w:val="FirstParagraph"/>
      </w:pPr>
      <w:r>
        <w:t xml:space="preserve">Pixels with</w:t>
      </w:r>
      <w:r>
        <w:t xml:space="preserve"> </w:t>
      </w:r>
      <m:oMath>
        <m:r>
          <m:rPr>
            <m:sty m:val="p"/>
          </m:rPr>
          <m:t>N</m:t>
        </m:r>
        <m:r>
          <m:rPr>
            <m:sty m:val="p"/>
          </m:rPr>
          <m:t>D</m:t>
        </m:r>
        <m:r>
          <m:rPr>
            <m:sty m:val="p"/>
          </m:rPr>
          <m:t>V</m:t>
        </m:r>
        <m:r>
          <m:rPr>
            <m:sty m:val="p"/>
          </m:rPr>
          <m:t>I</m:t>
        </m:r>
        <m:r>
          <m:rPr>
            <m:sty m:val="p"/>
          </m:rPr>
          <m:t>≥</m:t>
        </m:r>
        <m:r>
          <m:t>0.3</m:t>
        </m:r>
      </m:oMath>
      <w:r>
        <w:t xml:space="preserve"> </w:t>
      </w:r>
      <w:r>
        <w:t xml:space="preserve">were treated as vegetation-dominated</w:t>
      </w:r>
      <w:r>
        <w:t xml:space="preserve"> </w:t>
      </w:r>
      <w:r>
        <w:t xml:space="preserve">and excluded from further analysis.</w:t>
      </w:r>
    </w:p>
    <w:bookmarkStart w:id="14" w:name="tab:indices"/>
    <w:p>
      <w:pPr>
        <w:pStyle w:val="TableCaption"/>
      </w:pPr>
      <w:r>
        <w:t xml:space="preserve">Spectral indices computed for alteration zone detection.</w:t>
      </w:r>
    </w:p>
    <w:tbl>
      <w:tblPr>
        <w:tblStyle w:val="Table"/>
        <w:tblW w:type="auto" w:w="0"/>
        <w:tblLook w:firstRow="1" w:lastRow="0" w:firstColumn="0" w:lastColumn="0" w:noHBand="0" w:noVBand="0" w:val="0020"/>
        <w:tblCaption w:val="Spectral indices computed for alteration zone detection."/>
      </w:tblPr>
      <w:tblGrid>
        <w:gridCol w:w="2640"/>
        <w:gridCol w:w="2640"/>
        <w:gridCol w:w="2640"/>
      </w:tblGrid>
      <w:tr>
        <w:trPr>
          <w:tblHeader w:val="on"/>
        </w:trPr>
        <w:tc>
          <w:tcPr/>
          <w:p>
            <w:pPr>
              <w:pStyle w:val="Compact"/>
              <w:jc w:val="left"/>
            </w:pPr>
            <w:r>
              <w:t xml:space="preserve">Index</w:t>
            </w:r>
          </w:p>
        </w:tc>
        <w:tc>
          <w:tcPr/>
          <w:p>
            <w:pPr>
              <w:pStyle w:val="Compact"/>
              <w:jc w:val="left"/>
            </w:pPr>
            <w:r>
              <w:t xml:space="preserve">Formula</w:t>
            </w:r>
          </w:p>
        </w:tc>
        <w:tc>
          <w:tcPr/>
          <w:p>
            <w:pPr>
              <w:pStyle w:val="Compact"/>
              <w:jc w:val="left"/>
            </w:pPr>
            <w:r>
              <w:t xml:space="preserve">Target mineral group</w:t>
            </w:r>
          </w:p>
        </w:tc>
      </w:tr>
      <w:tr>
        <w:tc>
          <w:tcPr/>
          <w:p>
            <w:pPr>
              <w:pStyle w:val="Compact"/>
              <w:jc w:val="left"/>
            </w:pPr>
            <w:r>
              <w:t xml:space="preserve">Iron Oxide Index (IOI)</w:t>
            </w:r>
          </w:p>
        </w:tc>
        <w:tc>
          <w:tcPr/>
          <w:p>
            <w:pPr>
              <w:pStyle w:val="Compact"/>
              <w:jc w:val="left"/>
            </w:pPr>
            <m:oMath>
              <m:f>
                <m:fPr>
                  <m:type m:val="bar"/>
                </m:fPr>
                <m:num>
                  <m:r>
                    <m:t>B</m:t>
                  </m:r>
                  <m:r>
                    <m:t>4</m:t>
                  </m:r>
                  <m:r>
                    <m:rPr>
                      <m:sty m:val="p"/>
                    </m:rPr>
                    <m:t>−</m:t>
                  </m:r>
                  <m:r>
                    <m:t>B</m:t>
                  </m:r>
                  <m:r>
                    <m:t>2</m:t>
                  </m:r>
                </m:num>
                <m:den>
                  <m:r>
                    <m:t>B</m:t>
                  </m:r>
                  <m:r>
                    <m:t>4</m:t>
                  </m:r>
                  <m:r>
                    <m:rPr>
                      <m:sty m:val="p"/>
                    </m:rPr>
                    <m:t>+</m:t>
                  </m:r>
                  <m:r>
                    <m:t>B</m:t>
                  </m:r>
                  <m:r>
                    <m:t>2</m:t>
                  </m:r>
                </m:den>
              </m:f>
            </m:oMath>
          </w:p>
        </w:tc>
        <w:tc>
          <w:tcPr/>
          <w:p>
            <w:pPr>
              <w:pStyle w:val="Compact"/>
              <w:jc w:val="left"/>
            </w:pPr>
            <w:r>
              <w:t xml:space="preserve">Ferric iron oxides (hematite, goethite)</w:t>
            </w:r>
          </w:p>
        </w:tc>
      </w:tr>
      <w:tr>
        <w:tc>
          <w:tcPr/>
          <w:p>
            <w:pPr>
              <w:pStyle w:val="Compact"/>
              <w:jc w:val="left"/>
            </w:pPr>
            <w:r>
              <w:t xml:space="preserve">Clay Mineral Index (CMI)</w:t>
            </w:r>
          </w:p>
        </w:tc>
        <w:tc>
          <w:tcPr/>
          <w:p>
            <w:pPr>
              <w:pStyle w:val="Compact"/>
              <w:jc w:val="left"/>
            </w:pPr>
            <m:oMath>
              <m:f>
                <m:fPr>
                  <m:type m:val="bar"/>
                </m:fPr>
                <m:num>
                  <m:r>
                    <m:t>B</m:t>
                  </m:r>
                  <m:r>
                    <m:t>11</m:t>
                  </m:r>
                  <m:r>
                    <m:rPr>
                      <m:sty m:val="p"/>
                    </m:rPr>
                    <m:t>−</m:t>
                  </m:r>
                  <m:r>
                    <m:t>B</m:t>
                  </m:r>
                  <m:r>
                    <m:t>12</m:t>
                  </m:r>
                </m:num>
                <m:den>
                  <m:r>
                    <m:t>B</m:t>
                  </m:r>
                  <m:r>
                    <m:t>11</m:t>
                  </m:r>
                  <m:r>
                    <m:rPr>
                      <m:sty m:val="p"/>
                    </m:rPr>
                    <m:t>+</m:t>
                  </m:r>
                  <m:r>
                    <m:t>B</m:t>
                  </m:r>
                  <m:r>
                    <m:t>12</m:t>
                  </m:r>
                </m:den>
              </m:f>
            </m:oMath>
          </w:p>
        </w:tc>
        <w:tc>
          <w:tcPr/>
          <w:p>
            <w:pPr>
              <w:pStyle w:val="Compact"/>
              <w:jc w:val="left"/>
            </w:pPr>
            <w:r>
              <w:t xml:space="preserve">Hydroxyl-bearing clays (kaolinite, sericite)</w:t>
            </w:r>
          </w:p>
        </w:tc>
      </w:tr>
      <w:tr>
        <w:tc>
          <w:tcPr/>
          <w:p>
            <w:pPr>
              <w:pStyle w:val="Compact"/>
              <w:jc w:val="left"/>
            </w:pPr>
            <w:r>
              <w:t xml:space="preserve">Ferrous iron ratio (Fe Ratio)</w:t>
            </w:r>
          </w:p>
        </w:tc>
        <w:tc>
          <w:tcPr/>
          <w:p>
            <w:pPr>
              <w:pStyle w:val="Compact"/>
              <w:jc w:val="left"/>
            </w:pPr>
            <m:oMath>
              <m:f>
                <m:fPr>
                  <m:type m:val="bar"/>
                </m:fPr>
                <m:num>
                  <m:r>
                    <m:t>B</m:t>
                  </m:r>
                  <m:r>
                    <m:t>4</m:t>
                  </m:r>
                </m:num>
                <m:den>
                  <m:r>
                    <m:t>B</m:t>
                  </m:r>
                  <m:r>
                    <m:t>3</m:t>
                  </m:r>
                </m:den>
              </m:f>
            </m:oMath>
          </w:p>
        </w:tc>
        <w:tc>
          <w:tcPr/>
          <w:p>
            <w:pPr>
              <w:pStyle w:val="Compact"/>
              <w:jc w:val="left"/>
            </w:pPr>
            <w:r>
              <w:t xml:space="preserve">Ferrous iron minerals</w:t>
            </w:r>
          </w:p>
        </w:tc>
      </w:tr>
      <w:tr>
        <w:tc>
          <w:tcPr/>
          <w:p>
            <w:pPr>
              <w:pStyle w:val="Compact"/>
              <w:jc w:val="left"/>
            </w:pPr>
            <w:r>
              <w:t xml:space="preserve">AlOH Index</w:t>
            </w:r>
          </w:p>
        </w:tc>
        <w:tc>
          <w:tcPr/>
          <w:p>
            <w:pPr>
              <w:pStyle w:val="Compact"/>
              <w:jc w:val="left"/>
            </w:pPr>
            <m:oMath>
              <m:f>
                <m:fPr>
                  <m:type m:val="bar"/>
                </m:fPr>
                <m:num>
                  <m:r>
                    <m:t>B</m:t>
                  </m:r>
                  <m:r>
                    <m:t>11</m:t>
                  </m:r>
                  <m:r>
                    <m:rPr>
                      <m:sty m:val="p"/>
                    </m:rPr>
                    <m:t>−</m:t>
                  </m:r>
                  <m:r>
                    <m:t>B</m:t>
                  </m:r>
                  <m:r>
                    <m:t>8</m:t>
                  </m:r>
                </m:num>
                <m:den>
                  <m:r>
                    <m:t>B</m:t>
                  </m:r>
                  <m:r>
                    <m:t>11</m:t>
                  </m:r>
                  <m:r>
                    <m:rPr>
                      <m:sty m:val="p"/>
                    </m:rPr>
                    <m:t>+</m:t>
                  </m:r>
                  <m:r>
                    <m:t>B</m:t>
                  </m:r>
                  <m:r>
                    <m:t>8</m:t>
                  </m:r>
                </m:den>
              </m:f>
            </m:oMath>
          </w:p>
        </w:tc>
        <w:tc>
          <w:tcPr/>
          <w:p>
            <w:pPr>
              <w:pStyle w:val="Compact"/>
              <w:jc w:val="left"/>
            </w:pPr>
            <w:r>
              <w:t xml:space="preserve">Al–OH bond absorption (muscovite, illite)</w:t>
            </w:r>
          </w:p>
        </w:tc>
      </w:tr>
    </w:tbl>
    <w:bookmarkEnd w:id="14"/>
    <w:p>
      <w:pPr>
        <w:pStyle w:val="BodyText"/>
      </w:pPr>
      <w:r>
        <w:t xml:space="preserve">The Iron Oxide Index exploits the charge-transfer absorption near</w:t>
      </w:r>
      <w:r>
        <w:t xml:space="preserve"> </w:t>
      </w:r>
      <w:r>
        <w:t xml:space="preserve">490 nm and the reflectance peak near 665 nm characteristic of ferric</w:t>
      </w:r>
      <w:r>
        <w:t xml:space="preserve"> </w:t>
      </w:r>
      <w:r>
        <w:t xml:space="preserve">iron minerals</w:t>
      </w:r>
      <w:r>
        <w:t xml:space="preserve"> </w:t>
      </w:r>
      <w:r>
        <w:t xml:space="preserve">. The Clay Mineral Index leverages the</w:t>
      </w:r>
      <w:r>
        <w:t xml:space="preserve"> </w:t>
      </w:r>
      <w:r>
        <w:t xml:space="preserve">hydroxyl absorption feature near 2200 nm (B12) relative to the SWIR-1</w:t>
      </w:r>
      <w:r>
        <w:t xml:space="preserve"> </w:t>
      </w:r>
      <w:r>
        <w:t xml:space="preserve">reflectance plateau (B11)</w:t>
      </w:r>
      <w:r>
        <w:t xml:space="preserve"> </w:t>
      </w:r>
      <w:r>
        <w:t xml:space="preserve">. The ferrous iron ratio</w:t>
      </w:r>
      <w:r>
        <w:t xml:space="preserve"> </w:t>
      </w:r>
      <w:r>
        <w:t xml:space="preserve">targets the spectral contrast between the red and green bands caused by</w:t>
      </w:r>
      <w:r>
        <w:t xml:space="preserve"> </w:t>
      </w:r>
      <w:r>
        <w:t xml:space="preserve">crystal-field absorptions in Fe</w:t>
      </w:r>
      <m:oMath>
        <m:sSup>
          <m:e>
            <m:r>
              <m:t>​</m:t>
            </m:r>
          </m:e>
          <m:sup>
            <m:r>
              <m:t>2</m:t>
            </m:r>
            <m:r>
              <m:rPr>
                <m:sty m:val="p"/>
              </m:rPr>
              <m:t>+</m:t>
            </m:r>
          </m:sup>
        </m:sSup>
      </m:oMath>
      <w:r>
        <w:t xml:space="preserve">-bearing minerals</w:t>
      </w:r>
      <w:r>
        <w:t xml:space="preserve"> </w:t>
      </w:r>
      <w:r>
        <w:t xml:space="preserve">. The AlOH Index highlights the difference between</w:t>
      </w:r>
      <w:r>
        <w:t xml:space="preserve"> </w:t>
      </w:r>
      <w:r>
        <w:t xml:space="preserve">SWIR-1 and NIR reflectances, which is diagnostic of Al–OH-bearing</w:t>
      </w:r>
      <w:r>
        <w:t xml:space="preserve"> </w:t>
      </w:r>
      <w:r>
        <w:t xml:space="preserve">phyllosilicates</w:t>
      </w:r>
      <w:r>
        <w:t xml:space="preserve"> </w:t>
      </w:r>
      <w:r>
        <w:t xml:space="preserve">.</w:t>
      </w:r>
    </w:p>
    <w:bookmarkEnd w:id="15"/>
    <w:bookmarkStart w:id="16" w:name="principal-component-analysis"/>
    <w:p>
      <w:pPr>
        <w:pStyle w:val="Heading2"/>
      </w:pPr>
      <w:r>
        <w:rPr>
          <w:i/>
          <w:iCs/>
        </w:rPr>
        <w:t xml:space="preserve">Principal component</w:t>
      </w:r>
      <w:r>
        <w:rPr>
          <w:i/>
          <w:iCs/>
        </w:rPr>
        <w:t xml:space="preserve"> </w:t>
      </w:r>
      <w:r>
        <w:rPr>
          <w:i/>
          <w:iCs/>
        </w:rPr>
        <w:t xml:space="preserve">analysis</w:t>
      </w:r>
    </w:p>
    <w:p>
      <w:pPr>
        <w:pStyle w:val="FirstParagraph"/>
      </w:pPr>
      <w:r>
        <w:t xml:space="preserve">Principal Component Analysis was applied to reduce inter-band</w:t>
      </w:r>
      <w:r>
        <w:t xml:space="preserve"> </w:t>
      </w:r>
      <w:r>
        <w:t xml:space="preserve">correlation and to concentrate spectral variance into a small number of</w:t>
      </w:r>
      <w:r>
        <w:t xml:space="preserve"> </w:t>
      </w:r>
      <w:r>
        <w:t xml:space="preserve">uncorrelated components</w:t>
      </w:r>
      <w:r>
        <w:t xml:space="preserve"> </w:t>
      </w:r>
      <w:r>
        <w:t xml:space="preserve">. Two separate PCA</w:t>
      </w:r>
      <w:r>
        <w:t xml:space="preserve"> </w:t>
      </w:r>
      <w:r>
        <w:t xml:space="preserve">transformations were performed:</w:t>
      </w:r>
    </w:p>
    <w:p>
      <w:pPr>
        <w:numPr>
          <w:ilvl w:val="0"/>
          <w:numId w:val="1002"/>
        </w:numPr>
      </w:pPr>
      <w:r>
        <w:rPr>
          <w:b/>
          <w:bCs/>
        </w:rPr>
        <w:t xml:space="preserve">General PCA:</w:t>
      </w:r>
      <w:r>
        <w:t xml:space="preserve"> </w:t>
      </w:r>
      <w:r>
        <w:t xml:space="preserve">applied to all six retained spectral bands</w:t>
      </w:r>
      <w:r>
        <w:t xml:space="preserve"> </w:t>
      </w:r>
      <w:r>
        <w:t xml:space="preserve">(B2, B3, B4, B8, B11, B12), retaining the first three principal</w:t>
      </w:r>
      <w:r>
        <w:t xml:space="preserve"> </w:t>
      </w:r>
      <w:r>
        <w:t xml:space="preserve">components (PC1, PC2, PC3).</w:t>
      </w:r>
    </w:p>
    <w:p>
      <w:pPr>
        <w:numPr>
          <w:ilvl w:val="0"/>
          <w:numId w:val="1002"/>
        </w:numPr>
      </w:pPr>
      <w:r>
        <w:rPr>
          <w:b/>
          <w:bCs/>
        </w:rPr>
        <w:t xml:space="preserve">SWIR PCA:</w:t>
      </w:r>
      <w:r>
        <w:t xml:space="preserve"> </w:t>
      </w:r>
      <w:r>
        <w:t xml:space="preserve">applied to the shortwave infrared bands (B11,</w:t>
      </w:r>
      <w:r>
        <w:t xml:space="preserve"> </w:t>
      </w:r>
      <w:r>
        <w:t xml:space="preserve">B12) only, retaining two components (SWIR_PC1, SWIR_PC2) to</w:t>
      </w:r>
      <w:r>
        <w:t xml:space="preserve"> </w:t>
      </w:r>
      <w:r>
        <w:t xml:space="preserve">enhance clay-mineral spectral contrasts.</w:t>
      </w:r>
    </w:p>
    <w:p>
      <w:pPr>
        <w:pStyle w:val="FirstParagraph"/>
      </w:pPr>
      <w:r>
        <w:t xml:space="preserve">The transformation was implemented in Google Earth Engine using a</w:t>
      </w:r>
      <w:r>
        <w:t xml:space="preserve"> </w:t>
      </w:r>
      <w:r>
        <w:t xml:space="preserve">covariance-based eigen-decomposition. For a set of</w:t>
      </w:r>
      <w:r>
        <w:t xml:space="preserve"> </w:t>
      </w:r>
      <m:oMath>
        <m:r>
          <m:t>n</m:t>
        </m:r>
      </m:oMath>
      <w:r>
        <w:t xml:space="preserve"> </w:t>
      </w:r>
      <w:r>
        <w:t xml:space="preserve">input bands</w:t>
      </w:r>
      <w:r>
        <w:t xml:space="preserve"> </w:t>
      </w:r>
      <w:r>
        <w:t xml:space="preserve">represented as an image array, the covariance matrix</w:t>
      </w:r>
      <w:r>
        <w:t xml:space="preserve"> </w:t>
      </w:r>
      <m:oMath>
        <m:r>
          <m:rPr>
            <m:sty m:val="b"/>
          </m:rPr>
          <m:t>C</m:t>
        </m:r>
      </m:oMath>
      <w:r>
        <w:t xml:space="preserve"> </w:t>
      </w:r>
      <w:r>
        <w:t xml:space="preserve">was</w:t>
      </w:r>
      <w:r>
        <w:t xml:space="preserve"> </w:t>
      </w:r>
      <w:r>
        <w:t xml:space="preserve">computed with the</w:t>
      </w:r>
      <w:r>
        <w:t xml:space="preserve"> </w:t>
      </w:r>
      <w:r>
        <w:rPr>
          <w:rStyle w:val="VerbatimChar"/>
        </w:rPr>
        <w:t xml:space="preserve">centeredCovariance</w:t>
      </w:r>
      <w:r>
        <w:t xml:space="preserve"> </w:t>
      </w:r>
      <w:r>
        <w:t xml:space="preserve">reducer at 10 m</w:t>
      </w:r>
      <w:r>
        <w:t xml:space="preserve"> </w:t>
      </w:r>
      <w:r>
        <w:t xml:space="preserve">resolution. Eigenvectors</w:t>
      </w:r>
      <w:r>
        <w:t xml:space="preserve"> </w:t>
      </w:r>
      <m:oMath>
        <m:r>
          <m:rPr>
            <m:sty m:val="b"/>
          </m:rPr>
          <m:t>V</m:t>
        </m:r>
      </m:oMath>
      <w:r>
        <w:t xml:space="preserve"> </w:t>
      </w:r>
      <w:r>
        <w:t xml:space="preserve">and eigenvalues</w:t>
      </w:r>
      <w:r>
        <w:t xml:space="preserve"> </w:t>
      </w:r>
      <m:oMath>
        <m:r>
          <m:rPr>
            <m:sty m:val="b"/>
          </m:rPr>
          <m:t>λ</m:t>
        </m:r>
      </m:oMath>
      <w:r>
        <w:t xml:space="preserve"> </w:t>
      </w:r>
      <w:r>
        <w:t xml:space="preserve">were obtained from</w:t>
      </w:r>
      <w:r>
        <w:t xml:space="preserve"> </w:t>
      </w:r>
      <m:oMath>
        <m:r>
          <m:rPr>
            <m:sty m:val="b"/>
          </m:rPr>
          <m:t>C</m:t>
        </m:r>
      </m:oMath>
      <w:r>
        <w:t xml:space="preserve">, and the first</w:t>
      </w:r>
      <w:r>
        <w:t xml:space="preserve"> </w:t>
      </w:r>
      <m:oMath>
        <m:r>
          <m:t>k</m:t>
        </m:r>
      </m:oMath>
      <w:r>
        <w:t xml:space="preserve"> </w:t>
      </w:r>
      <w:r>
        <w:t xml:space="preserve">eigenvectors were</w:t>
      </w:r>
      <w:r>
        <w:t xml:space="preserve"> </w:t>
      </w:r>
      <w:r>
        <w:t xml:space="preserve">used to project the mean-centred image:</w:t>
      </w:r>
    </w:p>
    <w:p>
      <w:pPr>
        <w:pStyle w:val="BodyText"/>
      </w:pPr>
      <m:oMathPara>
        <m:oMathParaPr>
          <m:jc m:val="center"/>
        </m:oMathParaPr>
        <m:oMath>
          <m:r>
            <m:rPr>
              <m:sty m:val="b"/>
            </m:rPr>
            <m:t>Y</m:t>
          </m:r>
          <m:r>
            <m:rPr>
              <m:sty m:val="p"/>
            </m:rPr>
            <m:t>=</m:t>
          </m:r>
          <m:sSubSup>
            <m:e>
              <m:r>
                <m:rPr>
                  <m:sty m:val="b"/>
                </m:rPr>
                <m:t>V</m:t>
              </m:r>
            </m:e>
            <m:sub>
              <m:r>
                <m:t>k</m:t>
              </m:r>
            </m:sub>
            <m:sup>
              <m:r>
                <m:rPr>
                  <m:scr m:val="sans-serif"/>
                  <m:sty m:val="p"/>
                </m:rPr>
                <m:t>T</m:t>
              </m:r>
            </m:sup>
          </m:sSubSup>
          <m:r>
            <m:t> </m:t>
          </m:r>
          <m:d>
            <m:dPr>
              <m:begChr m:val="("/>
              <m:sepChr m:val=""/>
              <m:endChr m:val=")"/>
              <m:grow/>
            </m:dPr>
            <m:e>
              <m:r>
                <m:rPr>
                  <m:sty m:val="b"/>
                </m:rPr>
                <m:t>X</m:t>
              </m:r>
              <m:r>
                <m:rPr>
                  <m:sty m:val="p"/>
                </m:rPr>
                <m:t>−</m:t>
              </m:r>
              <m:r>
                <m:rPr>
                  <m:sty m:val="b"/>
                </m:rPr>
                <m:t>μ</m:t>
              </m:r>
            </m:e>
          </m:d>
          <m:r>
            <m:t> </m:t>
          </m:r>
          <m:r>
            <m:rPr>
              <m:sty m:val="p"/>
            </m:rPr>
            <m:t>,</m:t>
          </m:r>
        </m:oMath>
      </m:oMathPara>
    </w:p>
    <w:p>
      <w:pPr>
        <w:pStyle w:val="FirstParagraph"/>
      </w:pPr>
      <w:r>
        <w:t xml:space="preserve">where</w:t>
      </w:r>
      <w:r>
        <w:t xml:space="preserve"> </w:t>
      </w:r>
      <m:oMath>
        <m:r>
          <m:rPr>
            <m:sty m:val="b"/>
          </m:rPr>
          <m:t>X</m:t>
        </m:r>
      </m:oMath>
      <w:r>
        <w:t xml:space="preserve"> </w:t>
      </w:r>
      <w:r>
        <w:t xml:space="preserve">is the original band vector,</w:t>
      </w:r>
      <w:r>
        <w:t xml:space="preserve"> </w:t>
      </w:r>
      <m:oMath>
        <m:r>
          <m:rPr>
            <m:sty m:val="b"/>
          </m:rPr>
          <m:t>μ</m:t>
        </m:r>
      </m:oMath>
      <w:r>
        <w:t xml:space="preserve"> </w:t>
      </w:r>
      <w:r>
        <w:t xml:space="preserve">is the</w:t>
      </w:r>
      <w:r>
        <w:t xml:space="preserve"> </w:t>
      </w:r>
      <w:r>
        <w:t xml:space="preserve">band-wise mean, and</w:t>
      </w:r>
      <w:r>
        <w:t xml:space="preserve"> </w:t>
      </w:r>
      <m:oMath>
        <m:r>
          <m:rPr>
            <m:sty m:val="b"/>
          </m:rPr>
          <m:t>Y</m:t>
        </m:r>
      </m:oMath>
      <w:r>
        <w:t xml:space="preserve"> </w:t>
      </w:r>
      <w:r>
        <w:t xml:space="preserve">is the</w:t>
      </w:r>
      <w:r>
        <w:t xml:space="preserve"> </w:t>
      </w:r>
      <m:oMath>
        <m:r>
          <m:t>k</m:t>
        </m:r>
      </m:oMath>
      <w:r>
        <w:t xml:space="preserve">-dimensional PC image. For</w:t>
      </w:r>
      <w:r>
        <w:t xml:space="preserve"> </w:t>
      </w:r>
      <w:r>
        <w:t xml:space="preserve">the general PCA</w:t>
      </w:r>
      <w:r>
        <w:t xml:space="preserve"> </w:t>
      </w:r>
      <m:oMath>
        <m:r>
          <m:t>k</m:t>
        </m:r>
        <m:r>
          <m:rPr>
            <m:sty m:val="p"/>
          </m:rPr>
          <m:t>=</m:t>
        </m:r>
        <m:r>
          <m:t>3</m:t>
        </m:r>
      </m:oMath>
      <w:r>
        <w:t xml:space="preserve"> </w:t>
      </w:r>
      <w:r>
        <w:t xml:space="preserve">and for the SWIR PCA</w:t>
      </w:r>
      <w:r>
        <w:t xml:space="preserve"> </w:t>
      </w:r>
      <m:oMath>
        <m:r>
          <m:t>k</m:t>
        </m:r>
        <m:r>
          <m:rPr>
            <m:sty m:val="p"/>
          </m:rPr>
          <m:t>=</m:t>
        </m:r>
        <m:r>
          <m:t>2</m:t>
        </m:r>
      </m:oMath>
      <w:r>
        <w:t xml:space="preserve">.</w:t>
      </w:r>
    </w:p>
    <w:bookmarkEnd w:id="16"/>
    <w:bookmarkStart w:id="18" w:name="training-data"/>
    <w:p>
      <w:pPr>
        <w:pStyle w:val="Heading2"/>
      </w:pPr>
      <w:r>
        <w:rPr>
          <w:i/>
          <w:iCs/>
        </w:rPr>
        <w:t xml:space="preserve">Training data</w:t>
      </w:r>
    </w:p>
    <w:p>
      <w:pPr>
        <w:pStyle w:val="FirstParagraph"/>
      </w:pPr>
      <w:r>
        <w:t xml:space="preserve">Ground-truth data were obtained from 189 exploratory bore holes drilled</w:t>
      </w:r>
      <w:r>
        <w:t xml:space="preserve"> </w:t>
      </w:r>
      <w:r>
        <w:t xml:space="preserve">across the study area in four field campaigns designated ES, EST, BG and</w:t>
      </w:r>
      <w:r>
        <w:t xml:space="preserve"> </w:t>
      </w:r>
      <w:r>
        <w:t xml:space="preserve">BGS. Each bore hole was georeferenced with its latitude, longitude,</w:t>
      </w:r>
      <w:r>
        <w:t xml:space="preserve"> </w:t>
      </w:r>
      <w:r>
        <w:t xml:space="preserve">surface elevation (m) and total depth (m). Elevations range from 777 to</w:t>
      </w:r>
      <w:r>
        <w:t xml:space="preserve"> </w:t>
      </w:r>
      <w:r>
        <w:t xml:space="preserve">863 m and depths from 0.3 to 3.1 m (table </w:t>
      </w:r>
      <w:hyperlink w:anchor="tab:training">
        <w:r>
          <w:rPr>
            <w:rStyle w:val="Hyperlink"/>
          </w:rPr>
          <w:t xml:space="preserve">3</w:t>
        </w:r>
      </w:hyperlink>
      <w:r>
        <w:t xml:space="preserve">).</w:t>
      </w:r>
    </w:p>
    <w:bookmarkStart w:id="17" w:name="tab:training"/>
    <w:p>
      <w:pPr>
        <w:pStyle w:val="TableCaption"/>
      </w:pPr>
      <w:r>
        <w:t xml:space="preserve">Summary of bore-hole training data by campaign.</w:t>
      </w:r>
    </w:p>
    <w:tbl>
      <w:tblPr>
        <w:tblStyle w:val="Table"/>
        <w:tblW w:type="auto" w:w="0"/>
        <w:tblLook w:firstRow="1" w:lastRow="0" w:firstColumn="0" w:lastColumn="0" w:noHBand="0" w:noVBand="0" w:val="0020"/>
        <w:tblCaption w:val="Summary of bore-hole training data by campaign."/>
      </w:tblPr>
      <w:tblGrid>
        <w:gridCol w:w="1584"/>
        <w:gridCol w:w="1584"/>
        <w:gridCol w:w="1584"/>
        <w:gridCol w:w="1584"/>
        <w:gridCol w:w="1584"/>
      </w:tblGrid>
      <w:tr>
        <w:trPr>
          <w:tblHeader w:val="on"/>
        </w:trPr>
        <w:tc>
          <w:tcPr/>
          <w:p>
            <w:pPr>
              <w:pStyle w:val="Compact"/>
              <w:jc w:val="left"/>
            </w:pPr>
            <w:r>
              <w:t xml:space="preserve">Campaign</w:t>
            </w:r>
          </w:p>
        </w:tc>
        <w:tc>
          <w:tcPr/>
          <w:p>
            <w:pPr>
              <w:pStyle w:val="Compact"/>
              <w:jc w:val="right"/>
            </w:pPr>
            <w:r>
              <w:t xml:space="preserve">Count</w:t>
            </w:r>
          </w:p>
        </w:tc>
        <w:tc>
          <w:tcPr/>
          <w:p>
            <w:pPr>
              <w:pStyle w:val="Compact"/>
              <w:jc w:val="right"/>
            </w:pPr>
            <w:r>
              <w:t xml:space="preserve">Depth range (m)</w:t>
            </w:r>
          </w:p>
        </w:tc>
        <w:tc>
          <w:tcPr/>
          <w:p>
            <w:pPr>
              <w:pStyle w:val="Compact"/>
              <w:jc w:val="left"/>
            </w:pPr>
            <w:r>
              <w:t xml:space="preserve">Elevation range (m)</w:t>
            </w:r>
          </w:p>
        </w:tc>
        <w:tc>
          <w:tcPr/>
          <w:p>
            <w:pPr>
              <w:pStyle w:val="Compact"/>
              <w:jc w:val="left"/>
            </w:pPr>
            <w:r>
              <w:t xml:space="preserve">Location cluster</w:t>
            </w:r>
          </w:p>
        </w:tc>
      </w:tr>
      <w:tr>
        <w:tc>
          <w:tcPr/>
          <w:p>
            <w:pPr>
              <w:pStyle w:val="Compact"/>
              <w:jc w:val="left"/>
            </w:pPr>
            <w:r>
              <w:t xml:space="preserve">ES</w:t>
            </w:r>
          </w:p>
        </w:tc>
        <w:tc>
          <w:tcPr/>
          <w:p>
            <w:pPr>
              <w:pStyle w:val="Compact"/>
              <w:jc w:val="right"/>
            </w:pPr>
            <w:r>
              <w:t xml:space="preserve">37</w:t>
            </w:r>
          </w:p>
        </w:tc>
        <w:tc>
          <w:tcPr/>
          <w:p>
            <w:pPr>
              <w:pStyle w:val="Compact"/>
              <w:jc w:val="right"/>
            </w:pPr>
            <w:r>
              <w:t xml:space="preserve">1.0–3.0</w:t>
            </w:r>
          </w:p>
        </w:tc>
        <w:tc>
          <w:tcPr/>
          <w:p>
            <w:pPr>
              <w:pStyle w:val="Compact"/>
              <w:jc w:val="left"/>
            </w:pPr>
            <w:r>
              <w:t xml:space="preserve">813–863</w:t>
            </w:r>
          </w:p>
        </w:tc>
        <w:tc>
          <w:tcPr/>
          <w:p>
            <w:pPr>
              <w:pStyle w:val="Compact"/>
              <w:jc w:val="left"/>
            </w:pPr>
            <w:r>
              <w:t xml:space="preserve">Southern sector</w:t>
            </w:r>
          </w:p>
        </w:tc>
      </w:tr>
      <w:tr>
        <w:tc>
          <w:tcPr/>
          <w:p>
            <w:pPr>
              <w:pStyle w:val="Compact"/>
              <w:jc w:val="left"/>
            </w:pPr>
            <w:r>
              <w:t xml:space="preserve">EST</w:t>
            </w:r>
          </w:p>
        </w:tc>
        <w:tc>
          <w:tcPr/>
          <w:p>
            <w:pPr>
              <w:pStyle w:val="Compact"/>
              <w:jc w:val="right"/>
            </w:pPr>
            <w:r>
              <w:t xml:space="preserve">87</w:t>
            </w:r>
          </w:p>
        </w:tc>
        <w:tc>
          <w:tcPr/>
          <w:p>
            <w:pPr>
              <w:pStyle w:val="Compact"/>
              <w:jc w:val="right"/>
            </w:pPr>
            <w:r>
              <w:t xml:space="preserve">0.0–3.0</w:t>
            </w:r>
          </w:p>
        </w:tc>
        <w:tc>
          <w:tcPr/>
          <w:p>
            <w:pPr>
              <w:pStyle w:val="Compact"/>
              <w:jc w:val="left"/>
            </w:pPr>
            <w:r>
              <w:t xml:space="preserve">812–850</w:t>
            </w:r>
          </w:p>
        </w:tc>
        <w:tc>
          <w:tcPr/>
          <w:p>
            <w:pPr>
              <w:pStyle w:val="Compact"/>
              <w:jc w:val="left"/>
            </w:pPr>
            <w:r>
              <w:t xml:space="preserve">South-eastern sector</w:t>
            </w:r>
          </w:p>
        </w:tc>
      </w:tr>
      <w:tr>
        <w:tc>
          <w:tcPr/>
          <w:p>
            <w:pPr>
              <w:pStyle w:val="Compact"/>
              <w:jc w:val="left"/>
            </w:pPr>
            <w:r>
              <w:t xml:space="preserve">BG</w:t>
            </w:r>
          </w:p>
        </w:tc>
        <w:tc>
          <w:tcPr/>
          <w:p>
            <w:pPr>
              <w:pStyle w:val="Compact"/>
              <w:jc w:val="right"/>
            </w:pPr>
            <w:r>
              <w:t xml:space="preserve">30</w:t>
            </w:r>
          </w:p>
        </w:tc>
        <w:tc>
          <w:tcPr/>
          <w:p>
            <w:pPr>
              <w:pStyle w:val="Compact"/>
              <w:jc w:val="right"/>
            </w:pPr>
            <w:r>
              <w:t xml:space="preserve">0.3–2.9</w:t>
            </w:r>
          </w:p>
        </w:tc>
        <w:tc>
          <w:tcPr/>
          <w:p>
            <w:pPr>
              <w:pStyle w:val="Compact"/>
              <w:jc w:val="left"/>
            </w:pPr>
            <w:r>
              <w:t xml:space="preserve">782–836</w:t>
            </w:r>
          </w:p>
        </w:tc>
        <w:tc>
          <w:tcPr/>
          <w:p>
            <w:pPr>
              <w:pStyle w:val="Compact"/>
              <w:jc w:val="left"/>
            </w:pPr>
            <w:r>
              <w:t xml:space="preserve">Northern sector</w:t>
            </w:r>
          </w:p>
        </w:tc>
      </w:tr>
      <w:tr>
        <w:tc>
          <w:tcPr/>
          <w:p>
            <w:pPr>
              <w:pStyle w:val="Compact"/>
              <w:jc w:val="left"/>
            </w:pPr>
            <w:r>
              <w:t xml:space="preserve">BGS</w:t>
            </w:r>
          </w:p>
        </w:tc>
        <w:tc>
          <w:tcPr/>
          <w:p>
            <w:pPr>
              <w:pStyle w:val="Compact"/>
              <w:jc w:val="right"/>
            </w:pPr>
            <w:r>
              <w:t xml:space="preserve">33</w:t>
            </w:r>
          </w:p>
        </w:tc>
        <w:tc>
          <w:tcPr/>
          <w:p>
            <w:pPr>
              <w:pStyle w:val="Compact"/>
              <w:jc w:val="right"/>
            </w:pPr>
            <w:r>
              <w:t xml:space="preserve">1.3–3.1</w:t>
            </w:r>
          </w:p>
        </w:tc>
        <w:tc>
          <w:tcPr/>
          <w:p>
            <w:pPr>
              <w:pStyle w:val="Compact"/>
              <w:jc w:val="left"/>
            </w:pPr>
            <w:r>
              <w:t xml:space="preserve">777–808</w:t>
            </w:r>
          </w:p>
        </w:tc>
        <w:tc>
          <w:tcPr/>
          <w:p>
            <w:pPr>
              <w:pStyle w:val="Compact"/>
              <w:jc w:val="left"/>
            </w:pPr>
            <w:r>
              <w:t xml:space="preserve">North-eastern sector</w:t>
            </w:r>
          </w:p>
        </w:tc>
      </w:tr>
      <w:tr>
        <w:tc>
          <w:tcPr/>
          <w:p>
            <w:pPr>
              <w:pStyle w:val="Compact"/>
              <w:jc w:val="left"/>
            </w:pPr>
            <w:r>
              <w:rPr>
                <w:b/>
                <w:bCs/>
              </w:rPr>
              <w:t xml:space="preserve">Total</w:t>
            </w:r>
          </w:p>
        </w:tc>
        <w:tc>
          <w:tcPr/>
          <w:p>
            <w:pPr>
              <w:pStyle w:val="Compact"/>
              <w:jc w:val="right"/>
            </w:pPr>
            <w:r>
              <w:rPr>
                <w:b/>
                <w:bCs/>
              </w:rPr>
              <w:t xml:space="preserve">189</w:t>
            </w:r>
          </w:p>
        </w:tc>
        <w:tc>
          <w:tcPr/>
          <w:p>
            <w:pPr>
              <w:pStyle w:val="Compact"/>
              <w:jc w:val="right"/>
            </w:pPr>
            <w:r>
              <w:rPr>
                <w:b/>
                <w:bCs/>
              </w:rPr>
              <w:t xml:space="preserve">0.0–3.1</w:t>
            </w:r>
          </w:p>
        </w:tc>
        <w:tc>
          <w:tcPr/>
          <w:p>
            <w:pPr>
              <w:pStyle w:val="Compact"/>
              <w:jc w:val="left"/>
            </w:pPr>
            <w:r>
              <w:rPr>
                <w:b/>
                <w:bCs/>
              </w:rPr>
              <w:t xml:space="preserve">777–863</w:t>
            </w:r>
          </w:p>
        </w:tc>
        <w:tc>
          <w:tcPr/>
          <w:p>
            <w:pPr>
              <w:pStyle w:val="Compact"/>
            </w:pPr>
          </w:p>
        </w:tc>
      </w:tr>
    </w:tbl>
    <w:bookmarkEnd w:id="17"/>
    <w:p>
      <w:pPr>
        <w:pStyle w:val="BodyText"/>
      </w:pPr>
      <w:r>
        <w:t xml:space="preserve">All 189 bore-hole locations were labelled as belonging to alteration</w:t>
      </w:r>
      <w:r>
        <w:t xml:space="preserve"> </w:t>
      </w:r>
      <w:r>
        <w:t xml:space="preserve">zones (class 1) based on the presence of mineralised or altered material</w:t>
      </w:r>
      <w:r>
        <w:t xml:space="preserve"> </w:t>
      </w:r>
      <w:r>
        <w:t xml:space="preserve">in the drill logs. To balance the training set, the Random Forest</w:t>
      </w:r>
      <w:r>
        <w:t xml:space="preserve"> </w:t>
      </w:r>
      <w:r>
        <w:t xml:space="preserve">classifier’s internal framework supplies background (class 0) samples</w:t>
      </w:r>
      <w:r>
        <w:t xml:space="preserve"> </w:t>
      </w:r>
      <w:r>
        <w:t xml:space="preserve">through the classification of unlabelled pixels.</w:t>
      </w:r>
    </w:p>
    <w:bookmarkEnd w:id="18"/>
    <w:bookmarkStart w:id="19" w:name="random-forest-classification"/>
    <w:p>
      <w:pPr>
        <w:pStyle w:val="Heading2"/>
      </w:pPr>
      <w:r>
        <w:rPr>
          <w:i/>
          <w:iCs/>
        </w:rPr>
        <w:t xml:space="preserve">Random Forest</w:t>
      </w:r>
      <w:r>
        <w:rPr>
          <w:i/>
          <w:iCs/>
        </w:rPr>
        <w:t xml:space="preserve"> </w:t>
      </w:r>
      <w:r>
        <w:rPr>
          <w:i/>
          <w:iCs/>
        </w:rPr>
        <w:t xml:space="preserve">classification</w:t>
      </w:r>
    </w:p>
    <w:p>
      <w:pPr>
        <w:pStyle w:val="FirstParagraph"/>
      </w:pPr>
      <w:r>
        <w:t xml:space="preserve">The Random Forest algorithm</w:t>
      </w:r>
      <w:r>
        <w:t xml:space="preserve"> </w:t>
      </w:r>
      <w:r>
        <w:t xml:space="preserve"> </w:t>
      </w:r>
      <w:r>
        <w:t xml:space="preserve">was implemented via the</w:t>
      </w:r>
      <w:r>
        <w:t xml:space="preserve"> </w:t>
      </w:r>
      <w:r>
        <w:t xml:space="preserve">SMILE (Statistical Machine Intelligence and Learning Engine) library</w:t>
      </w:r>
      <w:r>
        <w:t xml:space="preserve"> </w:t>
      </w:r>
      <w:r>
        <w:t xml:space="preserve">available in Google Earth Engine (</w:t>
      </w:r>
      <w:r>
        <w:rPr>
          <w:rStyle w:val="VerbatimChar"/>
        </w:rPr>
        <w:t xml:space="preserve">ee.Classifier.smileRandomForest</w:t>
      </w:r>
      <w:r>
        <w:t xml:space="preserve">).</w:t>
      </w:r>
      <w:r>
        <w:t xml:space="preserve"> </w:t>
      </w:r>
      <w:r>
        <w:t xml:space="preserve">A forest of 10 decision trees was grown, with each tree trained on a</w:t>
      </w:r>
      <w:r>
        <w:t xml:space="preserve"> </w:t>
      </w:r>
      <w:r>
        <w:t xml:space="preserve">bootstrap sample of the input features. The nine-dimensional feature</w:t>
      </w:r>
      <w:r>
        <w:t xml:space="preserve"> </w:t>
      </w:r>
      <w:r>
        <w:t xml:space="preserve">vector for each pixel comprised:</w:t>
      </w:r>
    </w:p>
    <w:p>
      <w:pPr>
        <w:numPr>
          <w:ilvl w:val="0"/>
          <w:numId w:val="1003"/>
        </w:numPr>
      </w:pPr>
      <w:r>
        <w:t xml:space="preserve">IOI, CMI, Fe Ratio, AlOH Index (four spectral indices);</w:t>
      </w:r>
    </w:p>
    <w:p>
      <w:pPr>
        <w:numPr>
          <w:ilvl w:val="0"/>
          <w:numId w:val="1003"/>
        </w:numPr>
      </w:pPr>
      <w:r>
        <w:t xml:space="preserve">PC1, PC2, PC3 (three general principal components); and</w:t>
      </w:r>
    </w:p>
    <w:p>
      <w:pPr>
        <w:numPr>
          <w:ilvl w:val="0"/>
          <w:numId w:val="1003"/>
        </w:numPr>
      </w:pPr>
      <w:r>
        <w:t xml:space="preserve">SWIR_PC1, SWIR_PC2 (two SWIR principal components).</w:t>
      </w:r>
    </w:p>
    <w:p>
      <w:pPr>
        <w:pStyle w:val="FirstParagraph"/>
      </w:pPr>
      <w:r>
        <w:t xml:space="preserve">Training samples were generated by extracting the nine-band feature</w:t>
      </w:r>
      <w:r>
        <w:t xml:space="preserve"> </w:t>
      </w:r>
      <w:r>
        <w:t xml:space="preserve">values at the 189 bore-hole point locations using the Earth Engine</w:t>
      </w:r>
      <w:r>
        <w:t xml:space="preserve"> </w:t>
      </w:r>
      <w:r>
        <w:rPr>
          <w:rStyle w:val="VerbatimChar"/>
        </w:rPr>
        <w:t xml:space="preserve">sampleRegions</w:t>
      </w:r>
      <w:r>
        <w:t xml:space="preserve"> </w:t>
      </w:r>
      <w:r>
        <w:t xml:space="preserve">function at a scale of 10 m. The classifier was</w:t>
      </w:r>
      <w:r>
        <w:t xml:space="preserve"> </w:t>
      </w:r>
      <w:r>
        <w:t xml:space="preserve">trained with the</w:t>
      </w:r>
      <w:r>
        <w:t xml:space="preserve"> </w:t>
      </w:r>
      <w:r>
        <w:rPr>
          <w:rStyle w:val="VerbatimChar"/>
        </w:rPr>
        <w:t xml:space="preserve">class</w:t>
      </w:r>
      <w:r>
        <w:t xml:space="preserve"> </w:t>
      </w:r>
      <w:r>
        <w:t xml:space="preserve">property as the target label and the</w:t>
      </w:r>
      <w:r>
        <w:t xml:space="preserve"> </w:t>
      </w:r>
      <w:r>
        <w:t xml:space="preserve">nine features as input properties. The trained model was then applied to</w:t>
      </w:r>
      <w:r>
        <w:t xml:space="preserve"> </w:t>
      </w:r>
      <w:r>
        <w:t xml:space="preserve">the full study-area image to produce a binary classification map, where</w:t>
      </w:r>
      <w:r>
        <w:t xml:space="preserve"> </w:t>
      </w:r>
      <w:r>
        <w:t xml:space="preserve">class 1 denotes predicted alteration zones and class 0 denotes</w:t>
      </w:r>
      <w:r>
        <w:t xml:space="preserve"> </w:t>
      </w:r>
      <w:r>
        <w:t xml:space="preserve">non-alteration areas.</w:t>
      </w:r>
    </w:p>
    <w:bookmarkEnd w:id="19"/>
    <w:bookmarkStart w:id="21" w:name="llm-based-agent-architecture"/>
    <w:p>
      <w:pPr>
        <w:pStyle w:val="Heading2"/>
      </w:pPr>
      <w:r>
        <w:rPr>
          <w:i/>
          <w:iCs/>
        </w:rPr>
        <w:t xml:space="preserve">LLM-based agent</w:t>
      </w:r>
      <w:r>
        <w:rPr>
          <w:i/>
          <w:iCs/>
        </w:rPr>
        <w:t xml:space="preserve"> </w:t>
      </w:r>
      <w:r>
        <w:rPr>
          <w:i/>
          <w:iCs/>
        </w:rPr>
        <w:t xml:space="preserve">architecture</w:t>
      </w:r>
    </w:p>
    <w:p>
      <w:pPr>
        <w:pStyle w:val="FirstParagraph"/>
      </w:pPr>
      <w:r>
        <w:t xml:space="preserve">A key innovation of GeoMinerAI is the integration of a Large Language</w:t>
      </w:r>
      <w:r>
        <w:t xml:space="preserve"> </w:t>
      </w:r>
      <w:r>
        <w:t xml:space="preserve">Model agent to orchestrate the processing pipeline through</w:t>
      </w:r>
      <w:r>
        <w:t xml:space="preserve"> </w:t>
      </w:r>
      <w:r>
        <w:t xml:space="preserve">natural-language interaction. The agent architecture employs the</w:t>
      </w:r>
      <w:r>
        <w:t xml:space="preserve"> </w:t>
      </w:r>
      <w:r>
        <w:t xml:space="preserve">LangChain framework</w:t>
      </w:r>
      <w:r>
        <w:t xml:space="preserve"> </w:t>
      </w:r>
      <w:r>
        <w:t xml:space="preserve"> </w:t>
      </w:r>
      <w:r>
        <w:t xml:space="preserve">with the</w:t>
      </w:r>
      <w:r>
        <w:t xml:space="preserve"> </w:t>
      </w:r>
      <w:r>
        <w:rPr>
          <w:rStyle w:val="VerbatimChar"/>
        </w:rPr>
        <w:t xml:space="preserve">ZERO_SHOT_REACT_DESCRIPTION</w:t>
      </w:r>
      <w:r>
        <w:t xml:space="preserve"> </w:t>
      </w:r>
      <w:r>
        <w:t xml:space="preserve">strategy</w:t>
      </w:r>
      <w:r>
        <w:t xml:space="preserve"> </w:t>
      </w:r>
      <w:r>
        <w:t xml:space="preserve">, which</w:t>
      </w:r>
      <w:r>
        <w:t xml:space="preserve"> </w:t>
      </w:r>
      <w:r>
        <w:t xml:space="preserve">enables the LLM to reason about which tool to invoke at each step</w:t>
      </w:r>
      <w:r>
        <w:t xml:space="preserve"> </w:t>
      </w:r>
      <w:r>
        <w:t xml:space="preserve">without task-specific fine-tuning.</w:t>
      </w:r>
    </w:p>
    <w:p>
      <w:pPr>
        <w:pStyle w:val="BodyText"/>
      </w:pPr>
      <w:r>
        <w:t xml:space="preserve">The reasoning engine is the DeepSeek-LLM-7B-Chat model</w:t>
      </w:r>
      <w:r>
        <w:t xml:space="preserve"> </w:t>
      </w:r>
      <w:r>
        <w:t xml:space="preserve">, accessed via the HuggingFace Inference API. A</w:t>
      </w:r>
      <w:r>
        <w:t xml:space="preserve"> </w:t>
      </w:r>
      <w:r>
        <w:t xml:space="preserve">custom wrapper class extends the LangChain</w:t>
      </w:r>
      <w:r>
        <w:t xml:space="preserve"> </w:t>
      </w:r>
      <w:r>
        <w:rPr>
          <w:rStyle w:val="VerbatimChar"/>
        </w:rPr>
        <w:t xml:space="preserve">LLM</w:t>
      </w:r>
      <w:r>
        <w:t xml:space="preserve"> </w:t>
      </w:r>
      <w:r>
        <w:t xml:space="preserve">base class,</w:t>
      </w:r>
      <w:r>
        <w:t xml:space="preserve"> </w:t>
      </w:r>
      <w:r>
        <w:t xml:space="preserve">forwarding prompts to the HuggingFace</w:t>
      </w:r>
      <w:r>
        <w:t xml:space="preserve"> </w:t>
      </w:r>
      <w:r>
        <w:rPr>
          <w:rStyle w:val="VerbatimChar"/>
        </w:rPr>
        <w:t xml:space="preserve">InferenceClient</w:t>
      </w:r>
      <w:r>
        <w:t xml:space="preserve"> </w:t>
      </w:r>
      <w:r>
        <w:t xml:space="preserve">with a</w:t>
      </w:r>
      <w:r>
        <w:t xml:space="preserve"> </w:t>
      </w:r>
      <w:r>
        <w:t xml:space="preserve">maximum token budget of 256 tokens per response.</w:t>
      </w:r>
    </w:p>
    <w:p>
      <w:pPr>
        <w:pStyle w:val="BodyText"/>
      </w:pPr>
      <w:r>
        <w:t xml:space="preserve">Four tools are registered with the agent (table </w:t>
      </w:r>
      <w:hyperlink w:anchor="tab:tools">
        <w:r>
          <w:rPr>
            <w:rStyle w:val="Hyperlink"/>
          </w:rPr>
          <w:t xml:space="preserve">4</w:t>
        </w:r>
      </w:hyperlink>
      <w:r>
        <w:t xml:space="preserve">). When a</w:t>
      </w:r>
      <w:r>
        <w:t xml:space="preserve"> </w:t>
      </w:r>
      <w:r>
        <w:t xml:space="preserve">user submits a natural-language query, the agent performs a</w:t>
      </w:r>
      <w:r>
        <w:t xml:space="preserve"> </w:t>
      </w:r>
      <w:r>
        <w:t xml:space="preserve">Reasoning–Action loop: it analyses the query, selects the most</w:t>
      </w:r>
      <w:r>
        <w:t xml:space="preserve"> </w:t>
      </w:r>
      <w:r>
        <w:t xml:space="preserve">appropriate tool, executes it, observes the result, and iterates until a</w:t>
      </w:r>
      <w:r>
        <w:t xml:space="preserve"> </w:t>
      </w:r>
      <w:r>
        <w:t xml:space="preserve">final answer is produced.</w:t>
      </w:r>
    </w:p>
    <w:bookmarkStart w:id="20" w:name="tab:tools"/>
    <w:p>
      <w:pPr>
        <w:pStyle w:val="TableCaption"/>
      </w:pPr>
      <w:r>
        <w:t xml:space="preserve">Tools registered in the LangChain agent.</w:t>
      </w:r>
    </w:p>
    <w:tbl>
      <w:tblPr>
        <w:tblStyle w:val="Table"/>
        <w:tblW w:type="auto" w:w="0"/>
        <w:tblLook w:firstRow="1" w:lastRow="0" w:firstColumn="0" w:lastColumn="0" w:noHBand="0" w:noVBand="0" w:val="0020"/>
        <w:tblCaption w:val="Tools registered in the LangChain agent."/>
      </w:tblPr>
      <w:tblGrid>
        <w:gridCol w:w="3960"/>
        <w:gridCol w:w="3960"/>
      </w:tblGrid>
      <w:tr>
        <w:trPr>
          <w:tblHeader w:val="on"/>
        </w:trPr>
        <w:tc>
          <w:tcPr/>
          <w:p>
            <w:pPr>
              <w:pStyle w:val="Compact"/>
              <w:jc w:val="left"/>
            </w:pPr>
            <w:r>
              <w:t xml:space="preserve">Tool name</w:t>
            </w:r>
          </w:p>
        </w:tc>
        <w:tc>
          <w:tcPr/>
          <w:p>
            <w:pPr>
              <w:pStyle w:val="Compact"/>
              <w:jc w:val="left"/>
            </w:pPr>
            <w:r>
              <w:t xml:space="preserve">Description</w:t>
            </w:r>
          </w:p>
        </w:tc>
      </w:tr>
      <w:tr>
        <w:tc>
          <w:tcPr/>
          <w:p>
            <w:pPr>
              <w:pStyle w:val="Compact"/>
              <w:jc w:val="left"/>
            </w:pPr>
            <w:r>
              <w:rPr>
                <w:rStyle w:val="VerbatimChar"/>
              </w:rPr>
              <w:t xml:space="preserve">ExtractIndices</w:t>
            </w:r>
          </w:p>
        </w:tc>
        <w:tc>
          <w:tcPr/>
          <w:p>
            <w:pPr>
              <w:pStyle w:val="Compact"/>
              <w:jc w:val="left"/>
            </w:pPr>
            <w:r>
              <w:t xml:space="preserve">Extracts spectral index values at user-specified point locations from</w:t>
            </w:r>
            <w:r>
              <w:t xml:space="preserve"> </w:t>
            </w:r>
            <w:r>
              <w:t xml:space="preserve">the composite image and returns them as a downloadable CSV.</w:t>
            </w:r>
          </w:p>
        </w:tc>
      </w:tr>
      <w:tr>
        <w:tc>
          <w:tcPr/>
          <w:p>
            <w:pPr>
              <w:pStyle w:val="Compact"/>
              <w:jc w:val="left"/>
            </w:pPr>
            <w:r>
              <w:rPr>
                <w:rStyle w:val="VerbatimChar"/>
              </w:rPr>
              <w:t xml:space="preserve">ApplyPCA</w:t>
            </w:r>
          </w:p>
        </w:tc>
        <w:tc>
          <w:tcPr/>
          <w:p>
            <w:pPr>
              <w:pStyle w:val="Compact"/>
              <w:jc w:val="left"/>
            </w:pPr>
            <w:r>
              <w:t xml:space="preserve">Applies Principal Component Analysis to the spectral bands and returns</w:t>
            </w:r>
            <w:r>
              <w:t xml:space="preserve"> </w:t>
            </w:r>
            <w:r>
              <w:t xml:space="preserve">the projected PC image.</w:t>
            </w:r>
          </w:p>
        </w:tc>
      </w:tr>
      <w:tr>
        <w:tc>
          <w:tcPr/>
          <w:p>
            <w:pPr>
              <w:pStyle w:val="Compact"/>
              <w:jc w:val="left"/>
            </w:pPr>
            <w:r>
              <w:rPr>
                <w:rStyle w:val="VerbatimChar"/>
              </w:rPr>
              <w:t xml:space="preserve">ClassifyZones</w:t>
            </w:r>
          </w:p>
        </w:tc>
        <w:tc>
          <w:tcPr/>
          <w:p>
            <w:pPr>
              <w:pStyle w:val="Compact"/>
              <w:jc w:val="left"/>
            </w:pPr>
            <w:r>
              <w:t xml:space="preserve">Executes the full pipeline: computes spectral indices, applies PCA,</w:t>
            </w:r>
            <w:r>
              <w:t xml:space="preserve"> </w:t>
            </w:r>
            <w:r>
              <w:t xml:space="preserve">trains the Random Forest classifier and produces the binary</w:t>
            </w:r>
            <w:r>
              <w:t xml:space="preserve"> </w:t>
            </w:r>
            <w:r>
              <w:t xml:space="preserve">alteration-zone map.</w:t>
            </w:r>
          </w:p>
        </w:tc>
      </w:tr>
      <w:tr>
        <w:tc>
          <w:tcPr/>
          <w:p>
            <w:pPr>
              <w:pStyle w:val="Compact"/>
              <w:jc w:val="left"/>
            </w:pPr>
            <w:r>
              <w:rPr>
                <w:rStyle w:val="VerbatimChar"/>
              </w:rPr>
              <w:t xml:space="preserve">Calculate_Spectral_Indices</w:t>
            </w:r>
          </w:p>
        </w:tc>
        <w:tc>
          <w:tcPr/>
          <w:p>
            <w:pPr>
              <w:pStyle w:val="Compact"/>
              <w:jc w:val="left"/>
            </w:pPr>
            <w:r>
              <w:t xml:space="preserve">Computes mean IOI and CMI values over the entire AOI and returns</w:t>
            </w:r>
            <w:r>
              <w:t xml:space="preserve"> </w:t>
            </w:r>
            <w:r>
              <w:t xml:space="preserve">summary statistics.</w:t>
            </w:r>
          </w:p>
        </w:tc>
      </w:tr>
    </w:tbl>
    <w:bookmarkEnd w:id="20"/>
    <w:bookmarkEnd w:id="21"/>
    <w:bookmarkStart w:id="24" w:name="web-interface"/>
    <w:p>
      <w:pPr>
        <w:pStyle w:val="Heading2"/>
      </w:pPr>
      <w:r>
        <w:rPr>
          <w:i/>
          <w:iCs/>
        </w:rPr>
        <w:t xml:space="preserve">Web interface</w:t>
      </w:r>
    </w:p>
    <w:p>
      <w:pPr>
        <w:pStyle w:val="FirstParagraph"/>
      </w:pPr>
      <w:r>
        <w:t xml:space="preserve">The user-facing interface is built with Streamlit, an open-source Python</w:t>
      </w:r>
      <w:r>
        <w:t xml:space="preserve"> </w:t>
      </w:r>
      <w:r>
        <w:t xml:space="preserve">framework for data applications. Users enter queries in a free-text</w:t>
      </w:r>
      <w:r>
        <w:t xml:space="preserve"> </w:t>
      </w:r>
      <w:r>
        <w:t xml:space="preserve">input field, which are forwarded to the LangChain agent. When the</w:t>
      </w:r>
      <w:r>
        <w:t xml:space="preserve"> </w:t>
      </w:r>
      <w:r>
        <w:rPr>
          <w:rStyle w:val="VerbatimChar"/>
        </w:rPr>
        <w:t xml:space="preserve">ClassifyZones</w:t>
      </w:r>
      <w:r>
        <w:t xml:space="preserve"> </w:t>
      </w:r>
      <w:r>
        <w:t xml:space="preserve">tool is invoked, the resulting classified image</w:t>
      </w:r>
      <w:r>
        <w:t xml:space="preserve"> </w:t>
      </w:r>
      <w:r>
        <w:t xml:space="preserve">is stored in the Streamlit session state and rendered on an interactive</w:t>
      </w:r>
      <w:r>
        <w:t xml:space="preserve"> </w:t>
      </w:r>
      <w:r>
        <w:t xml:space="preserve">map using the</w:t>
      </w:r>
      <w:r>
        <w:t xml:space="preserve"> </w:t>
      </w:r>
      <w:r>
        <w:rPr>
          <w:rStyle w:val="VerbatimChar"/>
        </w:rPr>
        <w:t xml:space="preserve">geemap</w:t>
      </w:r>
      <w:r>
        <w:t xml:space="preserve"> </w:t>
      </w:r>
      <w:r>
        <w:t xml:space="preserve">library</w:t>
      </w:r>
      <w:r>
        <w:t xml:space="preserve"> </w:t>
      </w:r>
      <w:r>
        <w:t xml:space="preserve">. The classified</w:t>
      </w:r>
      <w:r>
        <w:t xml:space="preserve"> </w:t>
      </w:r>
      <w:r>
        <w:t xml:space="preserve">layer is displayed with a binary colour palette (white for</w:t>
      </w:r>
      <w:r>
        <w:t xml:space="preserve"> </w:t>
      </w:r>
      <w:r>
        <w:t xml:space="preserve">non-alteration, red for alteration zones) at a zoom level of 13,</w:t>
      </w:r>
      <w:r>
        <w:t xml:space="preserve"> </w:t>
      </w:r>
      <w:r>
        <w:t xml:space="preserve">centred on the classified geometry.</w:t>
      </w:r>
    </w:p>
    <w:bookmarkStart w:id="22" w:name="fig:architecture"/>
    <w:tbl>
      <w:tblPr>
        <w:tblStyle w:val="FigureTable"/>
        <w:tblW w:type="auto" w:w="0"/>
        <w:jc w:val="center"/>
        <w:tblLook w:firstRow="0" w:lastRow="0" w:firstColumn="0" w:lastColumn="0"/>
      </w:tblPr>
      <w:tblGrid/>
    </w:tbl>
    <w:p>
      <w:pPr>
        <w:pStyle w:val="ImageCaption"/>
      </w:pPr>
      <w:r>
        <w:t xml:space="preserve">System architecture of GeoMinerAI. Natural-language queries</w:t>
      </w:r>
      <w:r>
        <w:t xml:space="preserve"> </w:t>
      </w:r>
      <w:r>
        <w:t xml:space="preserve">are processed by the LangChain agent (backed by DeepSeek-7B), which</w:t>
      </w:r>
      <w:r>
        <w:t xml:space="preserve"> </w:t>
      </w:r>
      <w:r>
        <w:t xml:space="preserve">selects and invokes geospatial tools running on Google Earth Engine.</w:t>
      </w:r>
      <w:r>
        <w:t xml:space="preserve"> </w:t>
      </w:r>
      <w:r>
        <w:t xml:space="preserve">Results are rendered in the Streamlit web interface via geemap.</w:t>
      </w:r>
    </w:p>
    <w:bookmarkEnd w:id="22"/>
    <w:p>
      <w:pPr>
        <w:pStyle w:val="BodyText"/>
      </w:pPr>
      <w:r>
        <w:t xml:space="preserve">The complete methodological workflow is summarised in</w:t>
      </w:r>
      <w:r>
        <w:t xml:space="preserve"> </w:t>
      </w:r>
      <w:r>
        <w:t xml:space="preserve">figure </w:t>
      </w:r>
      <w:hyperlink w:anchor="fig:workflow">
        <w:r>
          <w:rPr>
            <w:rStyle w:val="Hyperlink"/>
          </w:rPr>
          <w:t xml:space="preserve">3</w:t>
        </w:r>
      </w:hyperlink>
      <w:r>
        <w:t xml:space="preserve">.</w:t>
      </w:r>
    </w:p>
    <w:bookmarkStart w:id="23" w:name="fig:workflow"/>
    <w:tbl>
      <w:tblPr>
        <w:tblStyle w:val="FigureTable"/>
        <w:tblW w:type="auto" w:w="0"/>
        <w:jc w:val="center"/>
        <w:tblLook w:firstRow="0" w:lastRow="0" w:firstColumn="0" w:lastColumn="0"/>
      </w:tblPr>
      <w:tblGrid/>
    </w:tbl>
    <w:p>
      <w:pPr>
        <w:pStyle w:val="ImageCaption"/>
      </w:pPr>
      <w:r>
        <w:t xml:space="preserve">Methodological workflow for alteration zone classification.</w:t>
      </w:r>
    </w:p>
    <w:bookmarkEnd w:id="23"/>
    <w:bookmarkEnd w:id="24"/>
    <w:bookmarkEnd w:id="25"/>
    <w:bookmarkStart w:id="32" w:name="results-and-discussion"/>
    <w:p>
      <w:pPr>
        <w:pStyle w:val="Heading1"/>
      </w:pPr>
      <w:r>
        <w:rPr>
          <w:b/>
          <w:bCs/>
        </w:rPr>
        <w:t xml:space="preserve">Results and discussion</w:t>
      </w:r>
    </w:p>
    <w:bookmarkStart w:id="26" w:name="spectral-index-characterisation"/>
    <w:p>
      <w:pPr>
        <w:pStyle w:val="Heading2"/>
      </w:pPr>
      <w:r>
        <w:rPr>
          <w:i/>
          <w:iCs/>
        </w:rPr>
        <w:t xml:space="preserve">Spectral index</w:t>
      </w:r>
      <w:r>
        <w:rPr>
          <w:i/>
          <w:iCs/>
        </w:rPr>
        <w:t xml:space="preserve"> </w:t>
      </w:r>
      <w:r>
        <w:rPr>
          <w:i/>
          <w:iCs/>
        </w:rPr>
        <w:t xml:space="preserve">characterisation</w:t>
      </w:r>
    </w:p>
    <w:p>
      <w:pPr>
        <w:pStyle w:val="FirstParagraph"/>
      </w:pPr>
      <w:r>
        <w:t xml:space="preserve">The median composite yielded spatially continuous coverage of the</w:t>
      </w:r>
      <w:r>
        <w:t xml:space="preserve"> </w:t>
      </w:r>
      <w:r>
        <w:t xml:space="preserve">42 km</w:t>
      </w:r>
      <m:oMath>
        <m:sSup>
          <m:e>
            <m:r>
              <m:t>​</m:t>
            </m:r>
          </m:e>
          <m:sup>
            <m:r>
              <m:t>2</m:t>
            </m:r>
          </m:sup>
        </m:sSup>
      </m:oMath>
      <w:r>
        <w:t xml:space="preserve"> </w:t>
      </w:r>
      <w:r>
        <w:t xml:space="preserve">study area with minimal cloud contamination. The NDVI mask</w:t>
      </w:r>
      <w:r>
        <w:t xml:space="preserve"> </w:t>
      </w:r>
      <w:r>
        <w:t xml:space="preserve">effectively excluded vegetated areas (NDVI </w:t>
      </w:r>
      <m:oMath>
        <m:r>
          <m:rPr>
            <m:sty m:val="p"/>
          </m:rPr>
          <m:t>≥</m:t>
        </m:r>
      </m:oMath>
      <w:r>
        <w:t xml:space="preserve"> 0.3), retaining</w:t>
      </w:r>
      <w:r>
        <w:t xml:space="preserve"> </w:t>
      </w:r>
      <w:r>
        <w:t xml:space="preserve">exposed and sparsely vegetated terrain where alteration signatures are</w:t>
      </w:r>
      <w:r>
        <w:t xml:space="preserve"> </w:t>
      </w:r>
      <w:r>
        <w:t xml:space="preserve">most discernible.</w:t>
      </w:r>
    </w:p>
    <w:p>
      <w:pPr>
        <w:pStyle w:val="BodyText"/>
      </w:pPr>
      <w:r>
        <w:t xml:space="preserve">The Iron Oxide Index (IOI) exhibited elevated values in the</w:t>
      </w:r>
      <w:r>
        <w:t xml:space="preserve"> </w:t>
      </w:r>
      <w:r>
        <w:t xml:space="preserve">south-eastern and northern sectors of the study area, coinciding with</w:t>
      </w:r>
      <w:r>
        <w:t xml:space="preserve"> </w:t>
      </w:r>
      <w:r>
        <w:t xml:space="preserve">zones of known iron-oxide staining associated with weathered Younger</w:t>
      </w:r>
      <w:r>
        <w:t xml:space="preserve"> </w:t>
      </w:r>
      <w:r>
        <w:t xml:space="preserve">Granite outcrops. The Clay Mineral Index (CMI) highlighted distinct</w:t>
      </w:r>
      <w:r>
        <w:t xml:space="preserve"> </w:t>
      </w:r>
      <w:r>
        <w:t xml:space="preserve">anomalies in the north-eastern sector, consistent with kaolinite and</w:t>
      </w:r>
      <w:r>
        <w:t xml:space="preserve"> </w:t>
      </w:r>
      <w:r>
        <w:t xml:space="preserve">sericite alteration haloes documented in previous geological mapping</w:t>
      </w:r>
      <w:r>
        <w:t xml:space="preserve"> </w:t>
      </w:r>
      <w:r>
        <w:t xml:space="preserve">. The Fe Ratio and AlOH Index provided</w:t>
      </w:r>
      <w:r>
        <w:t xml:space="preserve"> </w:t>
      </w:r>
      <w:r>
        <w:t xml:space="preserve">complementary spatial discrimination, with the AlOH Index proving</w:t>
      </w:r>
      <w:r>
        <w:t xml:space="preserve"> </w:t>
      </w:r>
      <w:r>
        <w:t xml:space="preserve">particularly sensitive to phyllosilicate-rich zones adjacent to granite</w:t>
      </w:r>
      <w:r>
        <w:t xml:space="preserve"> </w:t>
      </w:r>
      <w:r>
        <w:t xml:space="preserve">contacts.</w:t>
      </w:r>
    </w:p>
    <w:bookmarkEnd w:id="26"/>
    <w:bookmarkStart w:id="27" w:name="pca-transformation"/>
    <w:p>
      <w:pPr>
        <w:pStyle w:val="Heading2"/>
      </w:pPr>
      <w:r>
        <w:rPr>
          <w:i/>
          <w:iCs/>
        </w:rPr>
        <w:t xml:space="preserve">PCA transformation</w:t>
      </w:r>
    </w:p>
    <w:p>
      <w:pPr>
        <w:pStyle w:val="FirstParagraph"/>
      </w:pPr>
      <w:r>
        <w:t xml:space="preserve">The general PCA concentrated the majority of spectral variance into the</w:t>
      </w:r>
      <w:r>
        <w:t xml:space="preserve"> </w:t>
      </w:r>
      <w:r>
        <w:t xml:space="preserve">first three components. PC1 captured the overall albedo gradient, while</w:t>
      </w:r>
      <w:r>
        <w:t xml:space="preserve"> </w:t>
      </w:r>
      <w:r>
        <w:t xml:space="preserve">PC2 and PC3 enhanced subtle inter-band contrasts related to iron-oxide</w:t>
      </w:r>
      <w:r>
        <w:t xml:space="preserve"> </w:t>
      </w:r>
      <w:r>
        <w:t xml:space="preserve">and clay-mineral absorptions, respectively. The SWIR PCA</w:t>
      </w:r>
      <w:r>
        <w:t xml:space="preserve"> </w:t>
      </w:r>
      <w:r>
        <w:t xml:space="preserve">(SWIR_PC1 and SWIR_PC2) isolated hydroxyl-related spectral variation</w:t>
      </w:r>
      <w:r>
        <w:t xml:space="preserve"> </w:t>
      </w:r>
      <w:r>
        <w:t xml:space="preserve">that was diluted in the full six-band PCA, improving the separability of</w:t>
      </w:r>
      <w:r>
        <w:t xml:space="preserve"> </w:t>
      </w:r>
      <w:r>
        <w:t xml:space="preserve">clay-mineral-altered zones from unaltered background lithology.</w:t>
      </w:r>
    </w:p>
    <w:bookmarkEnd w:id="27"/>
    <w:bookmarkStart w:id="29" w:name="classification-output"/>
    <w:p>
      <w:pPr>
        <w:pStyle w:val="Heading2"/>
      </w:pPr>
      <w:r>
        <w:rPr>
          <w:i/>
          <w:iCs/>
        </w:rPr>
        <w:t xml:space="preserve">Classification output</w:t>
      </w:r>
    </w:p>
    <w:p>
      <w:pPr>
        <w:pStyle w:val="FirstParagraph"/>
      </w:pPr>
      <w:r>
        <w:t xml:space="preserve">The Random Forest classifier produced a binary alteration-zone map at</w:t>
      </w:r>
      <w:r>
        <w:t xml:space="preserve"> </w:t>
      </w:r>
      <w:r>
        <w:t xml:space="preserve">10 m resolution (figure </w:t>
      </w:r>
      <w:hyperlink w:anchor="fig:classified">
        <w:r>
          <w:rPr>
            <w:rStyle w:val="Hyperlink"/>
          </w:rPr>
          <w:t xml:space="preserve">4</w:t>
        </w:r>
      </w:hyperlink>
      <w:r>
        <w:t xml:space="preserve">). Predicted alteration</w:t>
      </w:r>
      <w:r>
        <w:t xml:space="preserve"> </w:t>
      </w:r>
      <w:r>
        <w:t xml:space="preserve">zones (class 1) form spatially coherent clusters that correspond to the</w:t>
      </w:r>
      <w:r>
        <w:t xml:space="preserve"> </w:t>
      </w:r>
      <w:r>
        <w:t xml:space="preserve">principal bore-hole survey areas:</w:t>
      </w:r>
    </w:p>
    <w:p>
      <w:pPr>
        <w:numPr>
          <w:ilvl w:val="0"/>
          <w:numId w:val="1004"/>
        </w:numPr>
      </w:pPr>
      <w:r>
        <w:t xml:space="preserve">the</w:t>
      </w:r>
      <w:r>
        <w:t xml:space="preserve"> </w:t>
      </w:r>
      <w:r>
        <w:rPr>
          <w:b/>
          <w:bCs/>
        </w:rPr>
        <w:t xml:space="preserve">ES/EST cluster</w:t>
      </w:r>
      <w:r>
        <w:t xml:space="preserve"> </w:t>
      </w:r>
      <w:r>
        <w:t xml:space="preserve">in the southern and south-eastern</w:t>
      </w:r>
      <w:r>
        <w:t xml:space="preserve"> </w:t>
      </w:r>
      <w:r>
        <w:t xml:space="preserve">sector, where bore-hole depths of up to 3.0 m intersected</w:t>
      </w:r>
      <w:r>
        <w:t xml:space="preserve"> </w:t>
      </w:r>
      <w:r>
        <w:t xml:space="preserve">altered saprolite and mineralised gravel horizons; and</w:t>
      </w:r>
    </w:p>
    <w:p>
      <w:pPr>
        <w:numPr>
          <w:ilvl w:val="0"/>
          <w:numId w:val="1004"/>
        </w:numPr>
      </w:pPr>
      <w:r>
        <w:t xml:space="preserve">the</w:t>
      </w:r>
      <w:r>
        <w:t xml:space="preserve"> </w:t>
      </w:r>
      <w:r>
        <w:rPr>
          <w:b/>
          <w:bCs/>
        </w:rPr>
        <w:t xml:space="preserve">BG/BGS cluster</w:t>
      </w:r>
      <w:r>
        <w:t xml:space="preserve"> </w:t>
      </w:r>
      <w:r>
        <w:t xml:space="preserve">in the northern and north-eastern</w:t>
      </w:r>
      <w:r>
        <w:t xml:space="preserve"> </w:t>
      </w:r>
      <w:r>
        <w:t xml:space="preserve">sector, extending towards lower elevations (777–836 m) where</w:t>
      </w:r>
      <w:r>
        <w:t xml:space="preserve"> </w:t>
      </w:r>
      <w:r>
        <w:t xml:space="preserve">alluvial tin deposits have been historically exploited.</w:t>
      </w:r>
    </w:p>
    <w:bookmarkStart w:id="28" w:name="fig:classified"/>
    <w:tbl>
      <w:tblPr>
        <w:tblStyle w:val="FigureTable"/>
        <w:tblW w:type="auto" w:w="0"/>
        <w:jc w:val="center"/>
        <w:tblLook w:firstRow="0" w:lastRow="0" w:firstColumn="0" w:lastColumn="0"/>
      </w:tblPr>
      <w:tblGrid/>
    </w:tbl>
    <w:p>
      <w:pPr>
        <w:pStyle w:val="ImageCaption"/>
      </w:pPr>
      <w:r>
        <w:t xml:space="preserve">Binary alteration-zone classification of the Jos Plateau</w:t>
      </w:r>
      <w:r>
        <w:t xml:space="preserve"> </w:t>
      </w:r>
      <w:r>
        <w:t xml:space="preserve">study area produced by the Random Forest classifier. Red pixels</w:t>
      </w:r>
      <w:r>
        <w:t xml:space="preserve"> </w:t>
      </w:r>
      <w:r>
        <w:t xml:space="preserve">indicate predicted alteration zones; white pixels indicate</w:t>
      </w:r>
      <w:r>
        <w:t xml:space="preserve"> </w:t>
      </w:r>
      <w:r>
        <w:t xml:space="preserve">non-alteration areas. Bore-hole locations from the four field</w:t>
      </w:r>
      <w:r>
        <w:t xml:space="preserve"> </w:t>
      </w:r>
      <w:r>
        <w:t xml:space="preserve">campaigns are shown as black dots.</w:t>
      </w:r>
    </w:p>
    <w:bookmarkEnd w:id="28"/>
    <w:p>
      <w:pPr>
        <w:pStyle w:val="BodyText"/>
      </w:pPr>
      <w:r>
        <w:t xml:space="preserve">The use of 10 trees in the Random Forest ensemble represents a</w:t>
      </w:r>
      <w:r>
        <w:t xml:space="preserve"> </w:t>
      </w:r>
      <w:r>
        <w:t xml:space="preserve">deliberately lightweight configuration suited to cloud-based execution</w:t>
      </w:r>
      <w:r>
        <w:t xml:space="preserve"> </w:t>
      </w:r>
      <w:r>
        <w:t xml:space="preserve">on Earth Engine, where computational resources are shared. While</w:t>
      </w:r>
      <w:r>
        <w:t xml:space="preserve"> </w:t>
      </w:r>
      <w:r>
        <w:t xml:space="preserve">increasing the number of trees could potentially improve classification</w:t>
      </w:r>
      <w:r>
        <w:t xml:space="preserve"> </w:t>
      </w:r>
      <w:r>
        <w:t xml:space="preserve">stability, the 10-tree model demonstrated adequate spatial coherence for</w:t>
      </w:r>
      <w:r>
        <w:t xml:space="preserve"> </w:t>
      </w:r>
      <w:r>
        <w:t xml:space="preserve">a reconnaissance-level application. The nine-feature input vector</w:t>
      </w:r>
      <w:r>
        <w:t xml:space="preserve"> </w:t>
      </w:r>
      <w:r>
        <w:t xml:space="preserve">provided a balance between spectral and structural information, with the</w:t>
      </w:r>
      <w:r>
        <w:t xml:space="preserve"> </w:t>
      </w:r>
      <w:r>
        <w:t xml:space="preserve">PCA features contributing additional discriminatory power beyond that of</w:t>
      </w:r>
      <w:r>
        <w:t xml:space="preserve"> </w:t>
      </w:r>
      <w:r>
        <w:t xml:space="preserve">the raw indices alone.</w:t>
      </w:r>
    </w:p>
    <w:bookmarkEnd w:id="29"/>
    <w:bookmarkStart w:id="30" w:name="agent-performance"/>
    <w:p>
      <w:pPr>
        <w:pStyle w:val="Heading2"/>
      </w:pPr>
      <w:r>
        <w:rPr>
          <w:i/>
          <w:iCs/>
        </w:rPr>
        <w:t xml:space="preserve">Agent performance</w:t>
      </w:r>
    </w:p>
    <w:p>
      <w:pPr>
        <w:pStyle w:val="FirstParagraph"/>
      </w:pPr>
      <w:r>
        <w:t xml:space="preserve">The LangChain agent successfully interpreted and executed user queries</w:t>
      </w:r>
      <w:r>
        <w:t xml:space="preserve"> </w:t>
      </w:r>
      <w:r>
        <w:t xml:space="preserve">such as</w:t>
      </w:r>
      <w:r>
        <w:t xml:space="preserve"> </w:t>
      </w:r>
      <w:r>
        <w:t xml:space="preserve">“Classify alteration zones in the AOI”</w:t>
      </w:r>
      <w:r>
        <w:t xml:space="preserve"> </w:t>
      </w:r>
      <w:r>
        <w:t xml:space="preserve">by selecting the</w:t>
      </w:r>
      <w:r>
        <w:t xml:space="preserve"> </w:t>
      </w:r>
      <w:r>
        <w:rPr>
          <w:rStyle w:val="VerbatimChar"/>
        </w:rPr>
        <w:t xml:space="preserve">ClassifyZones</w:t>
      </w:r>
      <w:r>
        <w:t xml:space="preserve"> </w:t>
      </w:r>
      <w:r>
        <w:t xml:space="preserve">tool, and</w:t>
      </w:r>
      <w:r>
        <w:t xml:space="preserve"> </w:t>
      </w:r>
      <w:r>
        <w:t xml:space="preserve">“Calculate mean IOI and CMI”</w:t>
      </w:r>
      <w:r>
        <w:t xml:space="preserve"> </w:t>
      </w:r>
      <w:r>
        <w:t xml:space="preserve">by</w:t>
      </w:r>
      <w:r>
        <w:t xml:space="preserve"> </w:t>
      </w:r>
      <w:r>
        <w:t xml:space="preserve">invoking</w:t>
      </w:r>
      <w:r>
        <w:t xml:space="preserve"> </w:t>
      </w:r>
      <w:r>
        <w:rPr>
          <w:rStyle w:val="VerbatimChar"/>
        </w:rPr>
        <w:t xml:space="preserve">Calculate_Spectral_Indices</w:t>
      </w:r>
      <w:r>
        <w:t xml:space="preserve">. The</w:t>
      </w:r>
      <w:r>
        <w:t xml:space="preserve"> </w:t>
      </w:r>
      <w:r>
        <w:rPr>
          <w:rStyle w:val="VerbatimChar"/>
        </w:rPr>
        <w:t xml:space="preserve">ZERO_SHOT_REACT_DESCRIPTION</w:t>
      </w:r>
      <w:r>
        <w:t xml:space="preserve"> </w:t>
      </w:r>
      <w:r>
        <w:t xml:space="preserve">strategy enabled the</w:t>
      </w:r>
      <w:r>
        <w:t xml:space="preserve"> </w:t>
      </w:r>
      <w:r>
        <w:t xml:space="preserve">DeepSeek-7B model to perform tool selection without task-specific</w:t>
      </w:r>
      <w:r>
        <w:t xml:space="preserve"> </w:t>
      </w:r>
      <w:r>
        <w:t xml:space="preserve">training examples, demonstrating the viability of general-purpose LLMs</w:t>
      </w:r>
      <w:r>
        <w:t xml:space="preserve"> </w:t>
      </w:r>
      <w:r>
        <w:t xml:space="preserve">for geoscientific workflow orchestration.</w:t>
      </w:r>
    </w:p>
    <w:p>
      <w:pPr>
        <w:pStyle w:val="BodyText"/>
      </w:pPr>
      <w:r>
        <w:t xml:space="preserve">The 256-token generation limit per agent step proved sufficient for</w:t>
      </w:r>
      <w:r>
        <w:t xml:space="preserve"> </w:t>
      </w:r>
      <w:r>
        <w:t xml:space="preserve">tool-selection reasoning, though more complex multi-step queries</w:t>
      </w:r>
      <w:r>
        <w:t xml:space="preserve"> </w:t>
      </w:r>
      <w:r>
        <w:t xml:space="preserve">occasionally required iterative agent turns. The Streamlit interface</w:t>
      </w:r>
      <w:r>
        <w:t xml:space="preserve"> </w:t>
      </w:r>
      <w:r>
        <w:t xml:space="preserve">provided immediate visual feedback through interactive Folium maps,</w:t>
      </w:r>
      <w:r>
        <w:t xml:space="preserve"> </w:t>
      </w:r>
      <w:r>
        <w:t xml:space="preserve">allowing users to inspect classification results geographically.</w:t>
      </w:r>
    </w:p>
    <w:bookmarkEnd w:id="30"/>
    <w:bookmarkStart w:id="31" w:name="limitations-and-future-work"/>
    <w:p>
      <w:pPr>
        <w:pStyle w:val="Heading2"/>
      </w:pPr>
      <w:r>
        <w:rPr>
          <w:i/>
          <w:iCs/>
        </w:rPr>
        <w:t xml:space="preserve">Limitations and future</w:t>
      </w:r>
      <w:r>
        <w:rPr>
          <w:i/>
          <w:iCs/>
        </w:rPr>
        <w:t xml:space="preserve"> </w:t>
      </w:r>
      <w:r>
        <w:rPr>
          <w:i/>
          <w:iCs/>
        </w:rPr>
        <w:t xml:space="preserve">work</w:t>
      </w:r>
    </w:p>
    <w:p>
      <w:pPr>
        <w:pStyle w:val="FirstParagraph"/>
      </w:pPr>
      <w:r>
        <w:t xml:space="preserve">Several limitations should be noted. First, the training data are</w:t>
      </w:r>
      <w:r>
        <w:t xml:space="preserve"> </w:t>
      </w:r>
      <w:r>
        <w:t xml:space="preserve">positively biased: all 189 bore-hole points are labelled as class 1</w:t>
      </w:r>
      <w:r>
        <w:t xml:space="preserve"> </w:t>
      </w:r>
      <w:r>
        <w:t xml:space="preserve">(alteration zone), and negative examples are implicitly generated by the</w:t>
      </w:r>
      <w:r>
        <w:t xml:space="preserve"> </w:t>
      </w:r>
      <w:r>
        <w:t xml:space="preserve">classifier from unlabelled pixels. Future work should incorporate</w:t>
      </w:r>
      <w:r>
        <w:t xml:space="preserve"> </w:t>
      </w:r>
      <w:r>
        <w:t xml:space="preserve">verified non-alteration control sites to improve classification</w:t>
      </w:r>
      <w:r>
        <w:t xml:space="preserve"> </w:t>
      </w:r>
      <w:r>
        <w:t xml:space="preserve">reliability and enable proper accuracy assessment with confusion</w:t>
      </w:r>
      <w:r>
        <w:t xml:space="preserve"> </w:t>
      </w:r>
      <w:r>
        <w:t xml:space="preserve">matrices and kappa statistics.</w:t>
      </w:r>
    </w:p>
    <w:p>
      <w:pPr>
        <w:pStyle w:val="BodyText"/>
      </w:pPr>
      <w:r>
        <w:t xml:space="preserve">Second, the current implementation does not perform independent</w:t>
      </w:r>
      <w:r>
        <w:t xml:space="preserve"> </w:t>
      </w:r>
      <w:r>
        <w:t xml:space="preserve">validation (e.g., hold-out or</w:t>
      </w:r>
      <w:r>
        <w:t xml:space="preserve"> </w:t>
      </w:r>
      <m:oMath>
        <m:r>
          <m:t>k</m:t>
        </m:r>
      </m:oMath>
      <w:r>
        <w:t xml:space="preserve">-fold cross-validation), which limits</w:t>
      </w:r>
      <w:r>
        <w:t xml:space="preserve"> </w:t>
      </w:r>
      <w:r>
        <w:t xml:space="preserve">quantitative assessment of classifier accuracy. Splitting the bore-hole</w:t>
      </w:r>
      <w:r>
        <w:t xml:space="preserve"> </w:t>
      </w:r>
      <w:r>
        <w:t xml:space="preserve">dataset into training and validation subsets or using leave-one-out</w:t>
      </w:r>
      <w:r>
        <w:t xml:space="preserve"> </w:t>
      </w:r>
      <w:r>
        <w:t xml:space="preserve">cross-validation would strengthen confidence in the classification</w:t>
      </w:r>
      <w:r>
        <w:t xml:space="preserve"> </w:t>
      </w:r>
      <w:r>
        <w:t xml:space="preserve">output.</w:t>
      </w:r>
    </w:p>
    <w:p>
      <w:pPr>
        <w:pStyle w:val="BodyText"/>
      </w:pPr>
      <w:r>
        <w:t xml:space="preserve">Third, the 10-tree Random Forest configuration was selected for</w:t>
      </w:r>
      <w:r>
        <w:t xml:space="preserve"> </w:t>
      </w:r>
      <w:r>
        <w:t xml:space="preserve">computational efficiency rather than optimised through hyperparameter</w:t>
      </w:r>
      <w:r>
        <w:t xml:space="preserve"> </w:t>
      </w:r>
      <w:r>
        <w:t xml:space="preserve">tuning. Systematic evaluation of tree count, maximum depth and minimum</w:t>
      </w:r>
      <w:r>
        <w:t xml:space="preserve"> </w:t>
      </w:r>
      <w:r>
        <w:t xml:space="preserve">leaf size could improve classification performance.</w:t>
      </w:r>
    </w:p>
    <w:p>
      <w:pPr>
        <w:pStyle w:val="BodyText"/>
      </w:pPr>
      <w:r>
        <w:t xml:space="preserve">Fourth, the single-date composite (January–May 2024) does not capture</w:t>
      </w:r>
      <w:r>
        <w:t xml:space="preserve"> </w:t>
      </w:r>
      <w:r>
        <w:t xml:space="preserve">temporal variability in surface conditions. Multi-temporal analysis</w:t>
      </w:r>
      <w:r>
        <w:t xml:space="preserve"> </w:t>
      </w:r>
      <w:r>
        <w:t xml:space="preserve">incorporating dry-season imagery from multiple years could improve the</w:t>
      </w:r>
      <w:r>
        <w:t xml:space="preserve"> </w:t>
      </w:r>
      <w:r>
        <w:t xml:space="preserve">robustness of the alteration maps.</w:t>
      </w:r>
    </w:p>
    <w:p>
      <w:pPr>
        <w:pStyle w:val="BodyText"/>
      </w:pPr>
      <w:r>
        <w:t xml:space="preserve">Finally, the DeepSeek-7B model, while adequate for tool selection, has</w:t>
      </w:r>
      <w:r>
        <w:t xml:space="preserve"> </w:t>
      </w:r>
      <w:r>
        <w:t xml:space="preserve">limited domain knowledge in geoscience. Fine-tuning the LLM on</w:t>
      </w:r>
      <w:r>
        <w:t xml:space="preserve"> </w:t>
      </w:r>
      <w:r>
        <w:t xml:space="preserve">geological literature or replacing it with a larger model could enhance</w:t>
      </w:r>
      <w:r>
        <w:t xml:space="preserve"> </w:t>
      </w:r>
      <w:r>
        <w:t xml:space="preserve">the agent’s ability to provide interpretive context alongside the</w:t>
      </w:r>
      <w:r>
        <w:t xml:space="preserve"> </w:t>
      </w:r>
      <w:r>
        <w:t xml:space="preserve">classification results.</w:t>
      </w:r>
    </w:p>
    <w:bookmarkEnd w:id="31"/>
    <w:bookmarkEnd w:id="32"/>
    <w:bookmarkStart w:id="33" w:name="conclusions"/>
    <w:p>
      <w:pPr>
        <w:pStyle w:val="Heading1"/>
      </w:pPr>
      <w:r>
        <w:rPr>
          <w:b/>
          <w:bCs/>
        </w:rPr>
        <w:t xml:space="preserve">Conclusions</w:t>
      </w:r>
    </w:p>
    <w:p>
      <w:pPr>
        <w:pStyle w:val="FirstParagraph"/>
      </w:pPr>
      <w:r>
        <w:t xml:space="preserve">This study has presented GeoMinerAI, an integrated framework that</w:t>
      </w:r>
      <w:r>
        <w:t xml:space="preserve"> </w:t>
      </w:r>
      <w:r>
        <w:t xml:space="preserve">combines satellite-based spectral analysis, machine learning</w:t>
      </w:r>
      <w:r>
        <w:t xml:space="preserve"> </w:t>
      </w:r>
      <w:r>
        <w:t xml:space="preserve">classification and LLM-driven agent orchestration for mineral alteration</w:t>
      </w:r>
      <w:r>
        <w:t xml:space="preserve"> </w:t>
      </w:r>
      <w:r>
        <w:t xml:space="preserve">zone detection on the Jos Plateau, Nigeria. The principal findings are:</w:t>
      </w:r>
    </w:p>
    <w:p>
      <w:pPr>
        <w:numPr>
          <w:ilvl w:val="0"/>
          <w:numId w:val="1005"/>
        </w:numPr>
      </w:pPr>
      <w:r>
        <w:t xml:space="preserve">Four spectral indices (IOI, CMI, Fe Ratio, AlOH Index) derived</w:t>
      </w:r>
      <w:r>
        <w:t xml:space="preserve"> </w:t>
      </w:r>
      <w:r>
        <w:t xml:space="preserve">from Sentinel-2 imagery effectively highlight iron-oxide and</w:t>
      </w:r>
      <w:r>
        <w:t xml:space="preserve"> </w:t>
      </w:r>
      <w:r>
        <w:t xml:space="preserve">hydroxyl-mineral alteration signatures when applied to</w:t>
      </w:r>
      <w:r>
        <w:t xml:space="preserve"> </w:t>
      </w:r>
      <w:r>
        <w:t xml:space="preserve">NDVI-masked, cloud-filtered median composites.</w:t>
      </w:r>
    </w:p>
    <w:p>
      <w:pPr>
        <w:numPr>
          <w:ilvl w:val="0"/>
          <w:numId w:val="1005"/>
        </w:numPr>
      </w:pPr>
      <w:r>
        <w:t xml:space="preserve">A covariance-based PCA applied to the full spectral band set and</w:t>
      </w:r>
      <w:r>
        <w:t xml:space="preserve"> </w:t>
      </w:r>
      <w:r>
        <w:t xml:space="preserve">to the SWIR subset generates five additional features that</w:t>
      </w:r>
      <w:r>
        <w:t xml:space="preserve"> </w:t>
      </w:r>
      <w:r>
        <w:t xml:space="preserve">enhance the spectral separability of altered and unaltered</w:t>
      </w:r>
      <w:r>
        <w:t xml:space="preserve"> </w:t>
      </w:r>
      <w:r>
        <w:t xml:space="preserve">terrain.</w:t>
      </w:r>
    </w:p>
    <w:p>
      <w:pPr>
        <w:numPr>
          <w:ilvl w:val="0"/>
          <w:numId w:val="1005"/>
        </w:numPr>
      </w:pPr>
      <w:r>
        <w:t xml:space="preserve">A Random Forest classifier with a nine-dimensional feature</w:t>
      </w:r>
      <w:r>
        <w:t xml:space="preserve"> </w:t>
      </w:r>
      <w:r>
        <w:t xml:space="preserve">vector trained on 189 bore-hole locations produces spatially</w:t>
      </w:r>
      <w:r>
        <w:t xml:space="preserve"> </w:t>
      </w:r>
      <w:r>
        <w:t xml:space="preserve">coherent binary alteration-zone maps at 10 m resolution that</w:t>
      </w:r>
      <w:r>
        <w:t xml:space="preserve"> </w:t>
      </w:r>
      <w:r>
        <w:t xml:space="preserve">align with known mineralisation corridors.</w:t>
      </w:r>
    </w:p>
    <w:p>
      <w:pPr>
        <w:numPr>
          <w:ilvl w:val="0"/>
          <w:numId w:val="1005"/>
        </w:numPr>
      </w:pPr>
      <w:r>
        <w:t xml:space="preserve">A LangChain agent backed by the DeepSeek-7B language model can</w:t>
      </w:r>
      <w:r>
        <w:t xml:space="preserve"> </w:t>
      </w:r>
      <w:r>
        <w:t xml:space="preserve">reliably select and execute geospatial processing tools in</w:t>
      </w:r>
      <w:r>
        <w:t xml:space="preserve"> </w:t>
      </w:r>
      <w:r>
        <w:t xml:space="preserve">response to natural-language commands, lowering the technical</w:t>
      </w:r>
      <w:r>
        <w:t xml:space="preserve"> </w:t>
      </w:r>
      <w:r>
        <w:t xml:space="preserve">barrier to satellite-based mineral exploration.</w:t>
      </w:r>
    </w:p>
    <w:p>
      <w:pPr>
        <w:pStyle w:val="FirstParagraph"/>
      </w:pPr>
      <w:r>
        <w:t xml:space="preserve">GeoMinerAI demonstrates that conversational AI agents can serve as</w:t>
      </w:r>
      <w:r>
        <w:t xml:space="preserve"> </w:t>
      </w:r>
      <w:r>
        <w:t xml:space="preserve">accessible interfaces to complex geospatial processing pipelines,</w:t>
      </w:r>
      <w:r>
        <w:t xml:space="preserve"> </w:t>
      </w:r>
      <w:r>
        <w:t xml:space="preserve">enabling geoscientists to conduct reconnaissance-level alteration</w:t>
      </w:r>
      <w:r>
        <w:t xml:space="preserve"> </w:t>
      </w:r>
      <w:r>
        <w:t xml:space="preserve">mapping without writing code. Future development will focus on</w:t>
      </w:r>
      <w:r>
        <w:t xml:space="preserve"> </w:t>
      </w:r>
      <w:r>
        <w:t xml:space="preserve">incorporating independent validation data, optimising classifier</w:t>
      </w:r>
      <w:r>
        <w:t xml:space="preserve"> </w:t>
      </w:r>
      <w:r>
        <w:t xml:space="preserve">hyperparameters, extending multi-temporal coverage and enhancing the</w:t>
      </w:r>
      <w:r>
        <w:t xml:space="preserve"> </w:t>
      </w:r>
      <w:r>
        <w:t xml:space="preserve">LLM’s geoscientific reasoning capabilities.</w:t>
      </w:r>
    </w:p>
    <w:bookmarkEnd w:id="33"/>
    <w:bookmarkStart w:id="49" w:name="acknowledgements"/>
    <w:p>
      <w:pPr>
        <w:pStyle w:val="Heading1"/>
      </w:pPr>
      <w:r>
        <w:t xml:space="preserve">Acknowledgements</w:t>
      </w:r>
    </w:p>
    <w:p>
      <w:pPr>
        <w:pStyle w:val="FirstParagraph"/>
      </w:pPr>
      <w:r>
        <w:t xml:space="preserve">The authors thank the Geological Survey of Nigeria for providing access</w:t>
      </w:r>
      <w:r>
        <w:t xml:space="preserve"> </w:t>
      </w:r>
      <w:r>
        <w:t xml:space="preserve">to bore-hole data from the Jos Plateau mineral exploration programme.</w:t>
      </w:r>
      <w:r>
        <w:t xml:space="preserve"> </w:t>
      </w:r>
      <w:r>
        <w:t xml:space="preserve">Sentinel-2 imagery was accessed through the Google Earth Engine platform.</w:t>
      </w:r>
      <w:r>
        <w:t xml:space="preserve"> </w:t>
      </w:r>
      <w:r>
        <w:t xml:space="preserve">The DeepSeek-7B model was served via the HuggingFace Inference API.</w:t>
      </w:r>
    </w:p>
    <w:p>
      <w:pPr>
        <w:pStyle w:val="BodyText"/>
      </w:pPr>
      <w:r>
        <w:t xml:space="preserve">99</w:t>
      </w:r>
    </w:p>
    <w:p>
      <w:pPr>
        <w:pStyle w:val="BodyText"/>
      </w:pPr>
      <w:r>
        <w:t xml:space="preserve">Bowden P 1987 The geochemistry and mineralization of the Younger Granite</w:t>
      </w:r>
      <w:r>
        <w:t xml:space="preserve"> </w:t>
      </w:r>
      <w:r>
        <w:t xml:space="preserve">ring complexes of Nigeria;</w:t>
      </w:r>
      <w:r>
        <w:t xml:space="preserve"> </w:t>
      </w:r>
      <w:r>
        <w:rPr>
          <w:i/>
          <w:iCs/>
        </w:rPr>
        <w:t xml:space="preserve">Geol. Surv. Nigeria Bull.</w:t>
      </w:r>
      <w:r>
        <w:t xml:space="preserve"> </w:t>
      </w:r>
      <w:r>
        <w:rPr>
          <w:b/>
          <w:bCs/>
        </w:rPr>
        <w:t xml:space="preserve">35</w:t>
      </w:r>
      <w:r>
        <w:t xml:space="preserve"> </w:t>
      </w:r>
      <w:r>
        <w:t xml:space="preserve">1–67.</w:t>
      </w:r>
    </w:p>
    <w:p>
      <w:pPr>
        <w:pStyle w:val="BodyText"/>
      </w:pPr>
      <w:r>
        <w:t xml:space="preserve">Breiman L 2001 Random Forests;</w:t>
      </w:r>
      <w:r>
        <w:t xml:space="preserve"> </w:t>
      </w:r>
      <w:r>
        <w:rPr>
          <w:i/>
          <w:iCs/>
        </w:rPr>
        <w:t xml:space="preserve">Mach. Learn.</w:t>
      </w:r>
      <w:r>
        <w:t xml:space="preserve"> </w:t>
      </w:r>
      <w:r>
        <w:rPr>
          <w:b/>
          <w:bCs/>
        </w:rPr>
        <w:t xml:space="preserve">45</w:t>
      </w:r>
      <w:r>
        <w:t xml:space="preserve">(1)</w:t>
      </w:r>
      <w:r>
        <w:t xml:space="preserve"> </w:t>
      </w:r>
      <w:r>
        <w:t xml:space="preserve">5–32,</w:t>
      </w:r>
      <w:r>
        <w:t xml:space="preserve"> </w:t>
      </w:r>
      <w:hyperlink r:id="rId34">
        <w:r>
          <w:rPr>
            <w:rStyle w:val="Hyperlink"/>
          </w:rPr>
          <w:t xml:space="preserve">doi:10.1023/A:1010933404324</w:t>
        </w:r>
      </w:hyperlink>
      <w:r>
        <w:t xml:space="preserve">.</w:t>
      </w:r>
    </w:p>
    <w:p>
      <w:pPr>
        <w:pStyle w:val="BodyText"/>
      </w:pPr>
      <w:r>
        <w:t xml:space="preserve">Chase H 2022 LangChain: Building applications with LLMs through</w:t>
      </w:r>
      <w:r>
        <w:t xml:space="preserve"> </w:t>
      </w:r>
      <w:r>
        <w:t xml:space="preserve">composability;</w:t>
      </w:r>
      <w:r>
        <w:t xml:space="preserve"> </w:t>
      </w:r>
      <w:hyperlink r:id="rId35">
        <w:r>
          <w:rPr>
            <w:rStyle w:val="Hyperlink"/>
          </w:rPr>
          <w:t xml:space="preserve">github.com/langchain-ai/langchain</w:t>
        </w:r>
      </w:hyperlink>
      <w:r>
        <w:t xml:space="preserve">.</w:t>
      </w:r>
    </w:p>
    <w:p>
      <w:pPr>
        <w:pStyle w:val="BodyText"/>
      </w:pPr>
      <w:r>
        <w:t xml:space="preserve">Cracknell M J and Reading A M 2014 Geological mapping using remote</w:t>
      </w:r>
      <w:r>
        <w:t xml:space="preserve"> </w:t>
      </w:r>
      <w:r>
        <w:t xml:space="preserve">sensing data: A comparison of five machine learning algorithms, their</w:t>
      </w:r>
      <w:r>
        <w:t xml:space="preserve"> </w:t>
      </w:r>
      <w:r>
        <w:t xml:space="preserve">response to variations in the spatial distribution of training data and</w:t>
      </w:r>
      <w:r>
        <w:t xml:space="preserve"> </w:t>
      </w:r>
      <w:r>
        <w:t xml:space="preserve">the use of explicit spatial information;</w:t>
      </w:r>
      <w:r>
        <w:t xml:space="preserve"> </w:t>
      </w:r>
      <w:r>
        <w:rPr>
          <w:i/>
          <w:iCs/>
        </w:rPr>
        <w:t xml:space="preserve">Comput. Geosci.</w:t>
      </w:r>
      <w:r>
        <w:t xml:space="preserve"> </w:t>
      </w:r>
      <w:r>
        <w:rPr>
          <w:b/>
          <w:bCs/>
        </w:rPr>
        <w:t xml:space="preserve">63</w:t>
      </w:r>
      <w:r>
        <w:t xml:space="preserve"> </w:t>
      </w:r>
      <w:r>
        <w:t xml:space="preserve">22–33,</w:t>
      </w:r>
      <w:r>
        <w:t xml:space="preserve"> </w:t>
      </w:r>
      <w:hyperlink r:id="rId36">
        <w:r>
          <w:rPr>
            <w:rStyle w:val="Hyperlink"/>
          </w:rPr>
          <w:t xml:space="preserve">doi:10.1016/j.cageo.2013.10.008</w:t>
        </w:r>
      </w:hyperlink>
      <w:r>
        <w:t xml:space="preserve">.</w:t>
      </w:r>
    </w:p>
    <w:p>
      <w:pPr>
        <w:pStyle w:val="BodyText"/>
      </w:pPr>
      <w:r>
        <w:t xml:space="preserve">DeepSeek-AI 2024 DeepSeek LLM: Scaling open-source language models with</w:t>
      </w:r>
      <w:r>
        <w:t xml:space="preserve"> </w:t>
      </w:r>
      <w:r>
        <w:t xml:space="preserve">longtermism;</w:t>
      </w:r>
      <w:r>
        <w:t xml:space="preserve"> </w:t>
      </w:r>
      <w:r>
        <w:rPr>
          <w:i/>
          <w:iCs/>
        </w:rPr>
        <w:t xml:space="preserve">arXiv preprint</w:t>
      </w:r>
      <w:r>
        <w:t xml:space="preserve"> </w:t>
      </w:r>
      <w:hyperlink r:id="rId37">
        <w:r>
          <w:rPr>
            <w:rStyle w:val="Hyperlink"/>
          </w:rPr>
          <w:t xml:space="preserve">arXiv:2401.02954</w:t>
        </w:r>
      </w:hyperlink>
      <w:r>
        <w:t xml:space="preserve">.</w:t>
      </w:r>
    </w:p>
    <w:p>
      <w:pPr>
        <w:pStyle w:val="BodyText"/>
      </w:pPr>
      <w:r>
        <w:t xml:space="preserve">Drusch M, Del Bello U, Carlier S, Colin O, Fernandez V, Gascon F,</w:t>
      </w:r>
      <w:r>
        <w:t xml:space="preserve"> </w:t>
      </w:r>
      <w:r>
        <w:t xml:space="preserve">Hoersch B, Isola C, Laberinti P, Martimort P, Meygret A, Spoto F,</w:t>
      </w:r>
      <w:r>
        <w:t xml:space="preserve"> </w:t>
      </w:r>
      <w:r>
        <w:t xml:space="preserve">Sy O, Marchese F and Bargellini P 2012 Sentinel-2: ESA’s optical</w:t>
      </w:r>
      <w:r>
        <w:t xml:space="preserve"> </w:t>
      </w:r>
      <w:r>
        <w:t xml:space="preserve">high-resolution mission for GMES operational services;</w:t>
      </w:r>
      <w:r>
        <w:t xml:space="preserve"> </w:t>
      </w:r>
      <w:r>
        <w:rPr>
          <w:i/>
          <w:iCs/>
        </w:rPr>
        <w:t xml:space="preserve">Remote Sens. Environ.</w:t>
      </w:r>
      <w:r>
        <w:t xml:space="preserve"> </w:t>
      </w:r>
      <w:r>
        <w:rPr>
          <w:b/>
          <w:bCs/>
        </w:rPr>
        <w:t xml:space="preserve">120</w:t>
      </w:r>
      <w:r>
        <w:t xml:space="preserve"> </w:t>
      </w:r>
      <w:r>
        <w:t xml:space="preserve">25–36,</w:t>
      </w:r>
      <w:r>
        <w:t xml:space="preserve"> </w:t>
      </w:r>
      <w:hyperlink r:id="rId38">
        <w:r>
          <w:rPr>
            <w:rStyle w:val="Hyperlink"/>
          </w:rPr>
          <w:t xml:space="preserve">doi:10.1016/j.rse.2011.11.026</w:t>
        </w:r>
      </w:hyperlink>
      <w:r>
        <w:t xml:space="preserve">.</w:t>
      </w:r>
    </w:p>
    <w:p>
      <w:pPr>
        <w:pStyle w:val="BodyText"/>
      </w:pPr>
      <w:r>
        <w:t xml:space="preserve">Flood N 2013 Seasonal composite Landsat TM/ETM+ images using the medoid</w:t>
      </w:r>
      <w:r>
        <w:t xml:space="preserve"> </w:t>
      </w:r>
      <w:r>
        <w:t xml:space="preserve">(a multi-dimensional median);</w:t>
      </w:r>
      <w:r>
        <w:t xml:space="preserve"> </w:t>
      </w:r>
      <w:r>
        <w:rPr>
          <w:i/>
          <w:iCs/>
        </w:rPr>
        <w:t xml:space="preserve">Remote Sens.</w:t>
      </w:r>
      <w:r>
        <w:t xml:space="preserve"> </w:t>
      </w:r>
      <w:r>
        <w:rPr>
          <w:b/>
          <w:bCs/>
        </w:rPr>
        <w:t xml:space="preserve">5</w:t>
      </w:r>
      <w:r>
        <w:t xml:space="preserve">(12)</w:t>
      </w:r>
      <w:r>
        <w:t xml:space="preserve"> </w:t>
      </w:r>
      <w:r>
        <w:t xml:space="preserve">6481–6500,</w:t>
      </w:r>
      <w:r>
        <w:t xml:space="preserve"> </w:t>
      </w:r>
      <w:hyperlink r:id="rId39">
        <w:r>
          <w:rPr>
            <w:rStyle w:val="Hyperlink"/>
          </w:rPr>
          <w:t xml:space="preserve">doi:10.3390/rs5126481</w:t>
        </w:r>
      </w:hyperlink>
      <w:r>
        <w:t xml:space="preserve">.</w:t>
      </w:r>
    </w:p>
    <w:p>
      <w:pPr>
        <w:pStyle w:val="BodyText"/>
      </w:pPr>
      <w:r>
        <w:t xml:space="preserve">Gascon F, Bouzinac C, Thépaut O, Jung M, Francesconi B,</w:t>
      </w:r>
      <w:r>
        <w:t xml:space="preserve"> </w:t>
      </w:r>
      <w:r>
        <w:t xml:space="preserve">Louis J, Lonjou V, Lafrance B, Massera S, Gaudel-Vacaresse A,</w:t>
      </w:r>
      <w:r>
        <w:t xml:space="preserve"> </w:t>
      </w:r>
      <w:r>
        <w:t xml:space="preserve">Languille F, Alhammoud B, Viallefont F, Pflug B, Bieniarz J,</w:t>
      </w:r>
      <w:r>
        <w:t xml:space="preserve"> </w:t>
      </w:r>
      <w:r>
        <w:t xml:space="preserve">Clerc S, Pessiot L, Trémas T, Cadau E, De Bonis R, Isola C,</w:t>
      </w:r>
      <w:r>
        <w:t xml:space="preserve"> </w:t>
      </w:r>
      <w:r>
        <w:t xml:space="preserve">Martimort P and Fernandez V 2017 Copernicus Sentinel-2A calibration</w:t>
      </w:r>
      <w:r>
        <w:t xml:space="preserve"> </w:t>
      </w:r>
      <w:r>
        <w:t xml:space="preserve">and products validation status;</w:t>
      </w:r>
      <w:r>
        <w:t xml:space="preserve"> </w:t>
      </w:r>
      <w:r>
        <w:rPr>
          <w:i/>
          <w:iCs/>
        </w:rPr>
        <w:t xml:space="preserve">Remote Sens.</w:t>
      </w:r>
      <w:r>
        <w:t xml:space="preserve"> </w:t>
      </w:r>
      <w:r>
        <w:rPr>
          <w:b/>
          <w:bCs/>
        </w:rPr>
        <w:t xml:space="preserve">9</w:t>
      </w:r>
      <w:r>
        <w:t xml:space="preserve">(6)</w:t>
      </w:r>
      <w:r>
        <w:t xml:space="preserve"> </w:t>
      </w:r>
      <w:r>
        <w:t xml:space="preserve">584,</w:t>
      </w:r>
      <w:r>
        <w:t xml:space="preserve"> </w:t>
      </w:r>
      <w:hyperlink r:id="rId40">
        <w:r>
          <w:rPr>
            <w:rStyle w:val="Hyperlink"/>
          </w:rPr>
          <w:t xml:space="preserve">doi:10.3390/rs9060584</w:t>
        </w:r>
      </w:hyperlink>
      <w:r>
        <w:t xml:space="preserve">.</w:t>
      </w:r>
    </w:p>
    <w:p>
      <w:pPr>
        <w:pStyle w:val="BodyText"/>
      </w:pPr>
      <w:r>
        <w:t xml:space="preserve">Ge W, Cheng Q, Tang Y, Jing L and Gao C 2018 Lithological</w:t>
      </w:r>
      <w:r>
        <w:t xml:space="preserve"> </w:t>
      </w:r>
      <w:r>
        <w:t xml:space="preserve">classification using Sentinel-2A data in the Shibanjing ophiolite</w:t>
      </w:r>
      <w:r>
        <w:t xml:space="preserve"> </w:t>
      </w:r>
      <w:r>
        <w:t xml:space="preserve">complex in Inner Mongolia, China;</w:t>
      </w:r>
      <w:r>
        <w:t xml:space="preserve"> </w:t>
      </w:r>
      <w:r>
        <w:rPr>
          <w:i/>
          <w:iCs/>
        </w:rPr>
        <w:t xml:space="preserve">Remote Sens.</w:t>
      </w:r>
      <w:r>
        <w:t xml:space="preserve"> </w:t>
      </w:r>
      <w:r>
        <w:rPr>
          <w:b/>
          <w:bCs/>
        </w:rPr>
        <w:t xml:space="preserve">10</w:t>
      </w:r>
      <w:r>
        <w:t xml:space="preserve">(4)</w:t>
      </w:r>
      <w:r>
        <w:t xml:space="preserve"> </w:t>
      </w:r>
      <w:r>
        <w:t xml:space="preserve">638,</w:t>
      </w:r>
      <w:r>
        <w:t xml:space="preserve"> </w:t>
      </w:r>
      <w:hyperlink r:id="rId41">
        <w:r>
          <w:rPr>
            <w:rStyle w:val="Hyperlink"/>
          </w:rPr>
          <w:t xml:space="preserve">doi:10.3390/rs10040638</w:t>
        </w:r>
      </w:hyperlink>
      <w:r>
        <w:t xml:space="preserve">.</w:t>
      </w:r>
    </w:p>
    <w:p>
      <w:pPr>
        <w:pStyle w:val="BodyText"/>
      </w:pPr>
      <w:r>
        <w:t xml:space="preserve">Gorelick N, Hancher M, Dixon M, Ilyushchenko S, Thau D and Moore R</w:t>
      </w:r>
      <w:r>
        <w:t xml:space="preserve"> </w:t>
      </w:r>
      <w:r>
        <w:t xml:space="preserve">2017 Google Earth Engine: Planetary-scale geospatial analysis for</w:t>
      </w:r>
      <w:r>
        <w:t xml:space="preserve"> </w:t>
      </w:r>
      <w:r>
        <w:t xml:space="preserve">everyone;</w:t>
      </w:r>
      <w:r>
        <w:t xml:space="preserve"> </w:t>
      </w:r>
      <w:r>
        <w:rPr>
          <w:i/>
          <w:iCs/>
        </w:rPr>
        <w:t xml:space="preserve">Remote Sens. Environ.</w:t>
      </w:r>
      <w:r>
        <w:t xml:space="preserve"> </w:t>
      </w:r>
      <w:r>
        <w:rPr>
          <w:b/>
          <w:bCs/>
        </w:rPr>
        <w:t xml:space="preserve">202</w:t>
      </w:r>
      <w:r>
        <w:t xml:space="preserve"> </w:t>
      </w:r>
      <w:r>
        <w:t xml:space="preserve">18–27,</w:t>
      </w:r>
      <w:r>
        <w:t xml:space="preserve"> </w:t>
      </w:r>
      <w:hyperlink r:id="rId42">
        <w:r>
          <w:rPr>
            <w:rStyle w:val="Hyperlink"/>
          </w:rPr>
          <w:t xml:space="preserve">doi:10.1016/j.rse.2017.06.031</w:t>
        </w:r>
      </w:hyperlink>
      <w:r>
        <w:t xml:space="preserve">.</w:t>
      </w:r>
    </w:p>
    <w:p>
      <w:pPr>
        <w:pStyle w:val="BodyText"/>
      </w:pPr>
      <w:r>
        <w:t xml:space="preserve">Hewson R D, Cudahy T J, Mizuhiko S, Ueda K and Mauger A J 2005</w:t>
      </w:r>
      <w:r>
        <w:t xml:space="preserve"> </w:t>
      </w:r>
      <w:r>
        <w:t xml:space="preserve">Seamless geological map generation using ASTER in the Broken Hill–Curnamona</w:t>
      </w:r>
      <w:r>
        <w:t xml:space="preserve"> </w:t>
      </w:r>
      <w:r>
        <w:t xml:space="preserve">province of Australia;</w:t>
      </w:r>
      <w:r>
        <w:t xml:space="preserve"> </w:t>
      </w:r>
      <w:r>
        <w:rPr>
          <w:i/>
          <w:iCs/>
        </w:rPr>
        <w:t xml:space="preserve">Remote Sens. Environ.</w:t>
      </w:r>
      <w:r>
        <w:t xml:space="preserve"> </w:t>
      </w:r>
      <w:r>
        <w:rPr>
          <w:b/>
          <w:bCs/>
        </w:rPr>
        <w:t xml:space="preserve">99</w:t>
      </w:r>
      <w:r>
        <w:t xml:space="preserve">(1–2)</w:t>
      </w:r>
      <w:r>
        <w:t xml:space="preserve"> </w:t>
      </w:r>
      <w:r>
        <w:t xml:space="preserve">159–172,</w:t>
      </w:r>
      <w:r>
        <w:t xml:space="preserve"> </w:t>
      </w:r>
      <w:hyperlink r:id="rId43">
        <w:r>
          <w:rPr>
            <w:rStyle w:val="Hyperlink"/>
          </w:rPr>
          <w:t xml:space="preserve">doi:10.1016/j.rse.2005.04.025</w:t>
        </w:r>
      </w:hyperlink>
      <w:r>
        <w:t xml:space="preserve">.</w:t>
      </w:r>
    </w:p>
    <w:p>
      <w:pPr>
        <w:pStyle w:val="BodyText"/>
      </w:pPr>
      <w:r>
        <w:t xml:space="preserve">Iloeje N P 1981</w:t>
      </w:r>
      <w:r>
        <w:t xml:space="preserve"> </w:t>
      </w:r>
      <w:r>
        <w:rPr>
          <w:i/>
          <w:iCs/>
        </w:rPr>
        <w:t xml:space="preserve">A New Geography of Nigeria</w:t>
      </w:r>
      <w:r>
        <w:t xml:space="preserve">; Longman Nigeria,</w:t>
      </w:r>
      <w:r>
        <w:t xml:space="preserve"> </w:t>
      </w:r>
      <w:r>
        <w:t xml:space="preserve">Lagos, 201p.</w:t>
      </w:r>
    </w:p>
    <w:p>
      <w:pPr>
        <w:pStyle w:val="BodyText"/>
      </w:pPr>
      <w:r>
        <w:t xml:space="preserve">Imeokparia E G 1982 Tin content of biotites from the Afu Younger</w:t>
      </w:r>
      <w:r>
        <w:t xml:space="preserve"> </w:t>
      </w:r>
      <w:r>
        <w:t xml:space="preserve">Granite complex, central Nigeria;</w:t>
      </w:r>
      <w:r>
        <w:t xml:space="preserve"> </w:t>
      </w:r>
      <w:r>
        <w:rPr>
          <w:i/>
          <w:iCs/>
        </w:rPr>
        <w:t xml:space="preserve">Econ. Geol.</w:t>
      </w:r>
      <w:r>
        <w:t xml:space="preserve"> </w:t>
      </w:r>
      <w:r>
        <w:rPr>
          <w:b/>
          <w:bCs/>
        </w:rPr>
        <w:t xml:space="preserve">77</w:t>
      </w:r>
      <w:r>
        <w:t xml:space="preserve"> </w:t>
      </w:r>
      <w:r>
        <w:t xml:space="preserve">1710–1724.</w:t>
      </w:r>
    </w:p>
    <w:p>
      <w:pPr>
        <w:pStyle w:val="BodyText"/>
      </w:pPr>
      <w:r>
        <w:t xml:space="preserve">Kinnaird J A 1984 Contrasting styles of Sn–Nb–Ta–Zn mineralization</w:t>
      </w:r>
      <w:r>
        <w:t xml:space="preserve"> </w:t>
      </w:r>
      <w:r>
        <w:t xml:space="preserve">in Nigeria;</w:t>
      </w:r>
      <w:r>
        <w:t xml:space="preserve"> </w:t>
      </w:r>
      <w:r>
        <w:rPr>
          <w:i/>
          <w:iCs/>
        </w:rPr>
        <w:t xml:space="preserve">J. Afr. Earth Sci.</w:t>
      </w:r>
      <w:r>
        <w:t xml:space="preserve"> </w:t>
      </w:r>
      <w:r>
        <w:rPr>
          <w:b/>
          <w:bCs/>
        </w:rPr>
        <w:t xml:space="preserve">2</w:t>
      </w:r>
      <w:r>
        <w:t xml:space="preserve">(2) 81–90.</w:t>
      </w:r>
    </w:p>
    <w:p>
      <w:pPr>
        <w:pStyle w:val="BodyText"/>
      </w:pPr>
      <w:r>
        <w:t xml:space="preserve">Lary D J, Alavi A H, Gandomi A H and Walker A L 2016 Machine learning</w:t>
      </w:r>
      <w:r>
        <w:t xml:space="preserve"> </w:t>
      </w:r>
      <w:r>
        <w:t xml:space="preserve">in geosciences and remote sensing;</w:t>
      </w:r>
      <w:r>
        <w:t xml:space="preserve"> </w:t>
      </w:r>
      <w:r>
        <w:rPr>
          <w:i/>
          <w:iCs/>
        </w:rPr>
        <w:t xml:space="preserve">Geosci. Front.</w:t>
      </w:r>
      <w:r>
        <w:t xml:space="preserve"> </w:t>
      </w:r>
      <w:r>
        <w:rPr>
          <w:b/>
          <w:bCs/>
        </w:rPr>
        <w:t xml:space="preserve">7</w:t>
      </w:r>
      <w:r>
        <w:t xml:space="preserve">(1) 3–10,</w:t>
      </w:r>
      <w:r>
        <w:t xml:space="preserve"> </w:t>
      </w:r>
      <w:hyperlink r:id="rId44">
        <w:r>
          <w:rPr>
            <w:rStyle w:val="Hyperlink"/>
          </w:rPr>
          <w:t xml:space="preserve">doi:10.1016/j.gsf.2015.07.003</w:t>
        </w:r>
      </w:hyperlink>
      <w:r>
        <w:t xml:space="preserve">.</w:t>
      </w:r>
    </w:p>
    <w:p>
      <w:pPr>
        <w:pStyle w:val="BodyText"/>
      </w:pPr>
      <w:r>
        <w:t xml:space="preserve">MacLeod W N, Turner D C and Wright E P 1954 The geology of the Jos</w:t>
      </w:r>
      <w:r>
        <w:t xml:space="preserve"> </w:t>
      </w:r>
      <w:r>
        <w:t xml:space="preserve">Plateau;</w:t>
      </w:r>
      <w:r>
        <w:t xml:space="preserve"> </w:t>
      </w:r>
      <w:r>
        <w:rPr>
          <w:i/>
          <w:iCs/>
        </w:rPr>
        <w:t xml:space="preserve">Geol. Surv. Nigeria Bull.</w:t>
      </w:r>
      <w:r>
        <w:t xml:space="preserve"> </w:t>
      </w:r>
      <w:r>
        <w:rPr>
          <w:b/>
          <w:bCs/>
        </w:rPr>
        <w:t xml:space="preserve">32</w:t>
      </w:r>
      <w:r>
        <w:t xml:space="preserve"> </w:t>
      </w:r>
      <w:r>
        <w:t xml:space="preserve">1–110.</w:t>
      </w:r>
    </w:p>
    <w:p>
      <w:pPr>
        <w:pStyle w:val="BodyText"/>
      </w:pPr>
      <w:r>
        <w:t xml:space="preserve">Ninomiya Y 2005 Mapping quartz, carbonate minerals, and mafic–ultramafic</w:t>
      </w:r>
      <w:r>
        <w:t xml:space="preserve"> </w:t>
      </w:r>
      <w:r>
        <w:t xml:space="preserve">rocks using remotely sensed multispectral thermal infrared ASTER data;</w:t>
      </w:r>
      <w:r>
        <w:t xml:space="preserve"> </w:t>
      </w:r>
      <w:r>
        <w:rPr>
          <w:i/>
          <w:iCs/>
        </w:rPr>
        <w:t xml:space="preserve">Proc. SPIE</w:t>
      </w:r>
      <w:r>
        <w:t xml:space="preserve"> </w:t>
      </w:r>
      <w:r>
        <w:rPr>
          <w:b/>
          <w:bCs/>
        </w:rPr>
        <w:t xml:space="preserve">4710</w:t>
      </w:r>
      <w:r>
        <w:t xml:space="preserve"> </w:t>
      </w:r>
      <w:r>
        <w:t xml:space="preserve">191–202.</w:t>
      </w:r>
    </w:p>
    <w:p>
      <w:pPr>
        <w:pStyle w:val="BodyText"/>
      </w:pPr>
      <w:r>
        <w:t xml:space="preserve">Pour A B and Hashim M 2011 Identification of hydrothermal alteration</w:t>
      </w:r>
      <w:r>
        <w:t xml:space="preserve"> </w:t>
      </w:r>
      <w:r>
        <w:t xml:space="preserve">minerals for exploring of porphyry copper deposit using ASTER data,</w:t>
      </w:r>
      <w:r>
        <w:t xml:space="preserve"> </w:t>
      </w:r>
      <w:r>
        <w:t xml:space="preserve">SE Iran;</w:t>
      </w:r>
      <w:r>
        <w:t xml:space="preserve"> </w:t>
      </w:r>
      <w:r>
        <w:rPr>
          <w:i/>
          <w:iCs/>
        </w:rPr>
        <w:t xml:space="preserve">J. Asian Earth Sci.</w:t>
      </w:r>
      <w:r>
        <w:t xml:space="preserve"> </w:t>
      </w:r>
      <w:r>
        <w:rPr>
          <w:b/>
          <w:bCs/>
        </w:rPr>
        <w:t xml:space="preserve">42</w:t>
      </w:r>
      <w:r>
        <w:t xml:space="preserve">(6) 1309–1323,</w:t>
      </w:r>
      <w:r>
        <w:t xml:space="preserve"> </w:t>
      </w:r>
      <w:hyperlink r:id="rId45">
        <w:r>
          <w:rPr>
            <w:rStyle w:val="Hyperlink"/>
          </w:rPr>
          <w:t xml:space="preserve">doi:10.1016/j.jseaes.2011.07.017</w:t>
        </w:r>
      </w:hyperlink>
      <w:r>
        <w:t xml:space="preserve">.</w:t>
      </w:r>
    </w:p>
    <w:p>
      <w:pPr>
        <w:pStyle w:val="BodyText"/>
      </w:pPr>
      <w:r>
        <w:t xml:space="preserve">Richards J A 2013</w:t>
      </w:r>
      <w:r>
        <w:t xml:space="preserve"> </w:t>
      </w:r>
      <w:r>
        <w:rPr>
          <w:i/>
          <w:iCs/>
        </w:rPr>
        <w:t xml:space="preserve">Remote Sensing Digital Image Analysis: An</w:t>
      </w:r>
      <w:r>
        <w:rPr>
          <w:i/>
          <w:iCs/>
        </w:rPr>
        <w:t xml:space="preserve"> </w:t>
      </w:r>
      <w:r>
        <w:rPr>
          <w:i/>
          <w:iCs/>
        </w:rPr>
        <w:t xml:space="preserve">Introduction</w:t>
      </w:r>
      <w:r>
        <w:t xml:space="preserve">; 5th edn, Springer, Berlin, 494p.</w:t>
      </w:r>
    </w:p>
    <w:p>
      <w:pPr>
        <w:pStyle w:val="BodyText"/>
      </w:pPr>
      <w:r>
        <w:t xml:space="preserve">Rowan L C and Mars J C 2006 Lithologic mapping in the Mountain</w:t>
      </w:r>
      <w:r>
        <w:t xml:space="preserve"> </w:t>
      </w:r>
      <w:r>
        <w:t xml:space="preserve">Pass, California area using Advanced Spaceborne Thermal Emission and</w:t>
      </w:r>
      <w:r>
        <w:t xml:space="preserve"> </w:t>
      </w:r>
      <w:r>
        <w:t xml:space="preserve">Reflection Radiometer (ASTER) data;</w:t>
      </w:r>
      <w:r>
        <w:t xml:space="preserve"> </w:t>
      </w:r>
      <w:r>
        <w:rPr>
          <w:i/>
          <w:iCs/>
        </w:rPr>
        <w:t xml:space="preserve">Remote Sens. Environ.</w:t>
      </w:r>
      <w:r>
        <w:t xml:space="preserve"> </w:t>
      </w:r>
      <w:r>
        <w:rPr>
          <w:b/>
          <w:bCs/>
        </w:rPr>
        <w:t xml:space="preserve">84</w:t>
      </w:r>
      <w:r>
        <w:t xml:space="preserve">(3) 350–366.</w:t>
      </w:r>
    </w:p>
    <w:p>
      <w:pPr>
        <w:pStyle w:val="BodyText"/>
      </w:pPr>
      <w:r>
        <w:t xml:space="preserve">Sabins F F 1999 Remote sensing for mineral exploration;</w:t>
      </w:r>
      <w:r>
        <w:t xml:space="preserve"> </w:t>
      </w:r>
      <w:r>
        <w:rPr>
          <w:i/>
          <w:iCs/>
        </w:rPr>
        <w:t xml:space="preserve">Ore Geol. Rev.</w:t>
      </w:r>
      <w:r>
        <w:t xml:space="preserve"> </w:t>
      </w:r>
      <w:r>
        <w:rPr>
          <w:b/>
          <w:bCs/>
        </w:rPr>
        <w:t xml:space="preserve">14</w:t>
      </w:r>
      <w:r>
        <w:t xml:space="preserve">(3–4) 157–183,</w:t>
      </w:r>
      <w:r>
        <w:t xml:space="preserve"> </w:t>
      </w:r>
      <w:hyperlink r:id="rId46">
        <w:r>
          <w:rPr>
            <w:rStyle w:val="Hyperlink"/>
          </w:rPr>
          <w:t xml:space="preserve">doi:10.1016/S0169-1368(99)00007-4</w:t>
        </w:r>
      </w:hyperlink>
      <w:r>
        <w:t xml:space="preserve">.</w:t>
      </w:r>
    </w:p>
    <w:p>
      <w:pPr>
        <w:pStyle w:val="BodyText"/>
      </w:pPr>
      <w:r>
        <w:t xml:space="preserve">Turner D C 1976 Structure and petrology of the Younger Granite ring</w:t>
      </w:r>
      <w:r>
        <w:t xml:space="preserve"> </w:t>
      </w:r>
      <w:r>
        <w:t xml:space="preserve">complexes; In:</w:t>
      </w:r>
      <w:r>
        <w:t xml:space="preserve"> </w:t>
      </w:r>
      <w:r>
        <w:rPr>
          <w:i/>
          <w:iCs/>
        </w:rPr>
        <w:t xml:space="preserve">Geology of Nigeria</w:t>
      </w:r>
      <w:r>
        <w:t xml:space="preserve"> </w:t>
      </w:r>
      <w:r>
        <w:t xml:space="preserve">(ed.) Kogbe C A, Elizabethan</w:t>
      </w:r>
      <w:r>
        <w:t xml:space="preserve"> </w:t>
      </w:r>
      <w:r>
        <w:t xml:space="preserve">Publishing, Lagos, pp. 143–158.</w:t>
      </w:r>
    </w:p>
    <w:p>
      <w:pPr>
        <w:pStyle w:val="BodyText"/>
      </w:pPr>
      <w:r>
        <w:t xml:space="preserve">Van der Meer F D, Van der Werff H M A, Van Ruitenbeek F J A,</w:t>
      </w:r>
      <w:r>
        <w:t xml:space="preserve"> </w:t>
      </w:r>
      <w:r>
        <w:t xml:space="preserve">Hecker C A, Bakker W H, Noomen M F, Van der Meijde M,</w:t>
      </w:r>
      <w:r>
        <w:t xml:space="preserve"> </w:t>
      </w:r>
      <w:r>
        <w:t xml:space="preserve">Carranza E J M, De Smeth J B and Woldai T 2012 Multi- and</w:t>
      </w:r>
      <w:r>
        <w:t xml:space="preserve"> </w:t>
      </w:r>
      <w:r>
        <w:t xml:space="preserve">hyperspectral geologic remote sensing: A review;</w:t>
      </w:r>
      <w:r>
        <w:t xml:space="preserve"> </w:t>
      </w:r>
      <w:r>
        <w:rPr>
          <w:i/>
          <w:iCs/>
        </w:rPr>
        <w:t xml:space="preserve">Int. J. Appl. Earth Obs. Geoinf.</w:t>
      </w:r>
      <w:r>
        <w:t xml:space="preserve"> </w:t>
      </w:r>
      <w:r>
        <w:rPr>
          <w:b/>
          <w:bCs/>
        </w:rPr>
        <w:t xml:space="preserve">14</w:t>
      </w:r>
      <w:r>
        <w:t xml:space="preserve">(1) 112–128,</w:t>
      </w:r>
      <w:r>
        <w:t xml:space="preserve"> </w:t>
      </w:r>
      <w:hyperlink r:id="rId47">
        <w:r>
          <w:rPr>
            <w:rStyle w:val="Hyperlink"/>
          </w:rPr>
          <w:t xml:space="preserve">doi:10.1016/j.jag.2011.08.002</w:t>
        </w:r>
      </w:hyperlink>
      <w:r>
        <w:t xml:space="preserve">.</w:t>
      </w:r>
    </w:p>
    <w:p>
      <w:pPr>
        <w:pStyle w:val="BodyText"/>
      </w:pPr>
      <w:r>
        <w:t xml:space="preserve">Wei J, Wang X, Schuurmans D, Bosma M, Ichter B, Xia F, Chi E,</w:t>
      </w:r>
      <w:r>
        <w:t xml:space="preserve"> </w:t>
      </w:r>
      <w:r>
        <w:t xml:space="preserve">Le Q V and Zhou D 2022 Chain-of-thought prompting elicits reasoning in</w:t>
      </w:r>
      <w:r>
        <w:t xml:space="preserve"> </w:t>
      </w:r>
      <w:r>
        <w:t xml:space="preserve">large language models;</w:t>
      </w:r>
      <w:r>
        <w:t xml:space="preserve"> </w:t>
      </w:r>
      <w:r>
        <w:rPr>
          <w:i/>
          <w:iCs/>
        </w:rPr>
        <w:t xml:space="preserve">Adv. Neural Inf. Process. Syst.</w:t>
      </w:r>
      <w:r>
        <w:t xml:space="preserve"> </w:t>
      </w:r>
      <w:r>
        <w:rPr>
          <w:b/>
          <w:bCs/>
        </w:rPr>
        <w:t xml:space="preserve">35</w:t>
      </w:r>
      <w:r>
        <w:t xml:space="preserve"> </w:t>
      </w:r>
      <w:r>
        <w:t xml:space="preserve">24824–24837.</w:t>
      </w:r>
    </w:p>
    <w:p>
      <w:pPr>
        <w:pStyle w:val="BodyText"/>
      </w:pPr>
      <w:r>
        <w:t xml:space="preserve">Wu Q 2020 geemap: A Python package for interactive mapping with Google</w:t>
      </w:r>
      <w:r>
        <w:t xml:space="preserve"> </w:t>
      </w:r>
      <w:r>
        <w:t xml:space="preserve">Earth Engine;</w:t>
      </w:r>
      <w:r>
        <w:t xml:space="preserve"> </w:t>
      </w:r>
      <w:r>
        <w:rPr>
          <w:i/>
          <w:iCs/>
        </w:rPr>
        <w:t xml:space="preserve">J. Open Source Softw.</w:t>
      </w:r>
      <w:r>
        <w:t xml:space="preserve"> </w:t>
      </w:r>
      <w:r>
        <w:rPr>
          <w:b/>
          <w:bCs/>
        </w:rPr>
        <w:t xml:space="preserve">5</w:t>
      </w:r>
      <w:r>
        <w:t xml:space="preserve">(51) 2305,</w:t>
      </w:r>
      <w:r>
        <w:t xml:space="preserve"> </w:t>
      </w:r>
      <w:hyperlink r:id="rId48">
        <w:r>
          <w:rPr>
            <w:rStyle w:val="Hyperlink"/>
          </w:rPr>
          <w:t xml:space="preserve">doi:10.21105/joss.02305</w:t>
        </w:r>
      </w:hyperlink>
      <w:r>
        <w:t xml:space="preserve">.</w:t>
      </w:r>
    </w:p>
    <w:p>
      <w:pPr>
        <w:pStyle w:val="BodyText"/>
      </w:pPr>
      <w:r>
        <w:t xml:space="preserve">Yao S, Zhao J, Yu D, Du N, Shafran I, Narasimhan K and Cao Y 2023</w:t>
      </w:r>
      <w:r>
        <w:t xml:space="preserve"> </w:t>
      </w:r>
      <w:r>
        <w:t xml:space="preserve">ReAct: Synergizing reasoning and acting in language models;</w:t>
      </w:r>
      <w:r>
        <w:t xml:space="preserve"> </w:t>
      </w:r>
      <w:r>
        <w:rPr>
          <w:i/>
          <w:iCs/>
        </w:rPr>
        <w:t xml:space="preserve">Int. Conf. Learn. Represent. (ICLR)</w:t>
      </w:r>
      <w:r>
        <w:t xml:space="preserve"> </w:t>
      </w:r>
      <w:r>
        <w:t xml:space="preserve">2023.</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arxiv.org/abs/2401.02954" TargetMode="External" /><Relationship Type="http://schemas.openxmlformats.org/officeDocument/2006/relationships/hyperlink" Id="rId46" Target="https://doi.org/10.1016/S0169-1368(99)00007-4" TargetMode="External" /><Relationship Type="http://schemas.openxmlformats.org/officeDocument/2006/relationships/hyperlink" Id="rId36" Target="https://doi.org/10.1016/j.cageo.2013.10.008" TargetMode="External" /><Relationship Type="http://schemas.openxmlformats.org/officeDocument/2006/relationships/hyperlink" Id="rId44" Target="https://doi.org/10.1016/j.gsf.2015.07.003" TargetMode="External" /><Relationship Type="http://schemas.openxmlformats.org/officeDocument/2006/relationships/hyperlink" Id="rId47" Target="https://doi.org/10.1016/j.jag.2011.08.002" TargetMode="External" /><Relationship Type="http://schemas.openxmlformats.org/officeDocument/2006/relationships/hyperlink" Id="rId45" Target="https://doi.org/10.1016/j.jseaes.2011.07.017" TargetMode="External" /><Relationship Type="http://schemas.openxmlformats.org/officeDocument/2006/relationships/hyperlink" Id="rId43" Target="https://doi.org/10.1016/j.rse.2005.04.025" TargetMode="External" /><Relationship Type="http://schemas.openxmlformats.org/officeDocument/2006/relationships/hyperlink" Id="rId38" Target="https://doi.org/10.1016/j.rse.2011.11.026" TargetMode="External" /><Relationship Type="http://schemas.openxmlformats.org/officeDocument/2006/relationships/hyperlink" Id="rId42" Target="https://doi.org/10.1016/j.rse.2017.06.031" TargetMode="External" /><Relationship Type="http://schemas.openxmlformats.org/officeDocument/2006/relationships/hyperlink" Id="rId34" Target="https://doi.org/10.1023/A:1010933404324" TargetMode="External" /><Relationship Type="http://schemas.openxmlformats.org/officeDocument/2006/relationships/hyperlink" Id="rId48" Target="https://doi.org/10.21105/joss.02305" TargetMode="External" /><Relationship Type="http://schemas.openxmlformats.org/officeDocument/2006/relationships/hyperlink" Id="rId41" Target="https://doi.org/10.3390/rs10040638" TargetMode="External" /><Relationship Type="http://schemas.openxmlformats.org/officeDocument/2006/relationships/hyperlink" Id="rId39" Target="https://doi.org/10.3390/rs5126481" TargetMode="External" /><Relationship Type="http://schemas.openxmlformats.org/officeDocument/2006/relationships/hyperlink" Id="rId40" Target="https://doi.org/10.3390/rs9060584" TargetMode="External" /><Relationship Type="http://schemas.openxmlformats.org/officeDocument/2006/relationships/hyperlink" Id="rId35" Target="https://github.com/langchain-ai/langchain" TargetMode="External" /></Relationships>
</file>

<file path=word/_rels/footnotes.xml.rels><?xml version="1.0" encoding="UTF-8"?><Relationships xmlns="http://schemas.openxmlformats.org/package/2006/relationships"><Relationship Type="http://schemas.openxmlformats.org/officeDocument/2006/relationships/hyperlink" Id="rId37" Target="https://arxiv.org/abs/2401.02954" TargetMode="External" /><Relationship Type="http://schemas.openxmlformats.org/officeDocument/2006/relationships/hyperlink" Id="rId46" Target="https://doi.org/10.1016/S0169-1368(99)00007-4" TargetMode="External" /><Relationship Type="http://schemas.openxmlformats.org/officeDocument/2006/relationships/hyperlink" Id="rId36" Target="https://doi.org/10.1016/j.cageo.2013.10.008" TargetMode="External" /><Relationship Type="http://schemas.openxmlformats.org/officeDocument/2006/relationships/hyperlink" Id="rId44" Target="https://doi.org/10.1016/j.gsf.2015.07.003" TargetMode="External" /><Relationship Type="http://schemas.openxmlformats.org/officeDocument/2006/relationships/hyperlink" Id="rId47" Target="https://doi.org/10.1016/j.jag.2011.08.002" TargetMode="External" /><Relationship Type="http://schemas.openxmlformats.org/officeDocument/2006/relationships/hyperlink" Id="rId45" Target="https://doi.org/10.1016/j.jseaes.2011.07.017" TargetMode="External" /><Relationship Type="http://schemas.openxmlformats.org/officeDocument/2006/relationships/hyperlink" Id="rId43" Target="https://doi.org/10.1016/j.rse.2005.04.025" TargetMode="External" /><Relationship Type="http://schemas.openxmlformats.org/officeDocument/2006/relationships/hyperlink" Id="rId38" Target="https://doi.org/10.1016/j.rse.2011.11.026" TargetMode="External" /><Relationship Type="http://schemas.openxmlformats.org/officeDocument/2006/relationships/hyperlink" Id="rId42" Target="https://doi.org/10.1016/j.rse.2017.06.031" TargetMode="External" /><Relationship Type="http://schemas.openxmlformats.org/officeDocument/2006/relationships/hyperlink" Id="rId34" Target="https://doi.org/10.1023/A:1010933404324" TargetMode="External" /><Relationship Type="http://schemas.openxmlformats.org/officeDocument/2006/relationships/hyperlink" Id="rId48" Target="https://doi.org/10.21105/joss.02305" TargetMode="External" /><Relationship Type="http://schemas.openxmlformats.org/officeDocument/2006/relationships/hyperlink" Id="rId41" Target="https://doi.org/10.3390/rs10040638" TargetMode="External" /><Relationship Type="http://schemas.openxmlformats.org/officeDocument/2006/relationships/hyperlink" Id="rId39" Target="https://doi.org/10.3390/rs5126481" TargetMode="External" /><Relationship Type="http://schemas.openxmlformats.org/officeDocument/2006/relationships/hyperlink" Id="rId40" Target="https://doi.org/10.3390/rs9060584" TargetMode="External" /><Relationship Type="http://schemas.openxmlformats.org/officeDocument/2006/relationships/hyperlink" Id="rId35" Target="https://github.com/langchain-ai/langcha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GeoMinerAI: An AI-Driven Framework for Mineral Alteration Zone Detection Using Sentinel-2 Imagery and LLM-Based Agent Orchestration on the Jos Plateau, Nigeria</dc:title>
  <dc:creator>Author One^{1,\ast}, Author Two^{1}, Author Three^{2} ^{1}Department of Geology, University of Jos, Jos, Nigeria ^{2}Department of Computer Science, University of Jos, Jos, Nigeria ^{\ast}Corresponding author. e-mail: author@example.com</dc:creator>
  <cp:keywords/>
  <dcterms:created xsi:type="dcterms:W3CDTF">2026-02-09T23:05:27Z</dcterms:created>
  <dcterms:modified xsi:type="dcterms:W3CDTF">2026-02-09T23:05:27Z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Efficient detection of mineral alteration zones is critical for guiding exploration campaigns in geologically complex terrains. This study presents GeoMinerAI, an open-source framework that couples a Large Language Model (LLM)-based agent with cloud-based geospatial processing to automate alteration zone mapping on the Jos Plateau, north-central Nigeria. Sentinel-2 Surface Reflectance imagery acquired between January and May 2024 is processed through Google Earth Engine to derive four mineralogically diagnostic spectral indices — Iron Oxide Index (IOI), Clay Mineral Index (CMI), ferrous iron ratio (Fe Ratio) and aluminium hydroxyl index (AlOH Index) — after masking densely vegetated pixels with a Normalised Difference Vegetation Index (NDVI) threshold of 0.3. Principal Component Analysis (PCA) is applied to the spectral bands and to the shortwave infrared (SWIR) subset, yielding five additional features. A Random Forest classifier trained on 189 bore-hole locations collected across four field campaigns (ES, EST, BG and BGS) then produces a binary alteration-zone map at 10 m spatial resolution. The entire analytical pipeline is orchestrated by a LangChain agent backed by the DeepSeek-7B language model, allowing users to invoke processing steps through natural-language commands within an interactive Streamlit web interface. Preliminary results delineate spatially coherent alteration zones that align with known tin–columbite mineralisation corridors. The framework demonstrates how conversational AI agents can lower the technical barrier to satellite-based mineral exploration, enabling geoscientists to interrogate remote-sensing workflows without writing code.</vt:lpwstr>
  </property>
  <property fmtid="{D5CDD505-2E9C-101B-9397-08002B2CF9AE}" pid="3" name="date">
    <vt:lpwstr/>
  </property>
</Properties>
</file>