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rFonts w:ascii="Arial" w:cs="Arial" w:eastAsia="Arial" w:hAnsi="Arial"/>
          <w:b/>
          <w:bCs/>
          <w:color w:val="1F4E79"/>
          <w:sz w:val="36"/>
          <w:szCs w:val="36"/>
        </w:rPr>
        <w:t xml:space="preserve">GeoINquire · Messina Workshop</w:t>
      </w:r>
    </w:p>
    <w:p>
      <w:pPr>
        <w:spacing w:after="60" w:before="60"/>
        <w:jc w:val="center"/>
      </w:pPr>
      <w:r>
        <w:rPr>
          <w:rFonts w:ascii="Arial" w:cs="Arial" w:eastAsia="Arial" w:hAnsi="Arial"/>
          <w:color w:val="2E75B6"/>
          <w:sz w:val="28"/>
          <w:szCs w:val="28"/>
        </w:rPr>
        <w:t xml:space="preserve">EFEHR Seismic Hazard Platform</w:t>
      </w:r>
    </w:p>
    <w:p>
      <w:pPr>
        <w:spacing w:after="60" w:before="60"/>
        <w:jc w:val="center"/>
      </w:pPr>
      <w:r>
        <w:rPr>
          <w:rFonts w:ascii="Arial" w:cs="Arial" w:eastAsia="Arial" w:hAnsi="Arial"/>
          <w:color w:val="555555"/>
          <w:sz w:val="24"/>
          <w:szCs w:val="24"/>
        </w:rPr>
        <w:t xml:space="preserve">Jupyter Notebook Workshop Guide</w:t>
      </w:r>
    </w:p>
    <w:p>
      <w:pPr>
        <w:spacing w:after="600" w:before="60"/>
        <w:jc w:val="center"/>
      </w:pPr>
      <w:r>
        <w:rPr>
          <w:rFonts w:ascii="Arial" w:cs="Arial" w:eastAsia="Arial" w:hAnsi="Arial"/>
          <w:i/>
          <w:iCs/>
          <w:color w:val="888888"/>
          <w:sz w:val="20"/>
          <w:szCs w:val="20"/>
        </w:rPr>
        <w:t xml:space="preserve">April 2026 · Messina, Sicily</w:t>
      </w:r>
    </w:p>
    <w:p>
      <w:pPr>
        <w:pBdr>
          <w:bottom w:val="single" w:color="2E75B6" w:sz="8" w:space="2"/>
        </w:pBdr>
        <w:spacing w:after="400" w:before="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1. Workshop Overview</w:t>
      </w:r>
    </w:p>
    <w:p>
      <w:pPr>
        <w:spacing w:after="80" w:before="60"/>
      </w:pPr>
      <w:r>
        <w:rPr>
          <w:rFonts w:ascii="Arial" w:cs="Arial" w:eastAsia="Arial" w:hAnsi="Arial"/>
          <w:sz w:val="20"/>
          <w:szCs w:val="20"/>
        </w:rPr>
        <w:t xml:space="preserve">This practical session introduces students to the EFEHR (European Facilities for Earthquake Hazard and Risk) hazard web service. Using two Jupyter notebooks, students will query probabilistic seismic hazard results for any site in Europe, visualise hazard curves and uniform hazard spectra, and compare models, locations, and uncertainty levels.</w:t>
      </w:r>
    </w:p>
    <w:p>
      <w:pPr>
        <w:spacing w:after="40" w:before="40"/>
      </w:pPr>
      <w:r>
        <w:t xml:space="preserve"/>
      </w:r>
    </w:p>
    <w:p>
      <w:pPr>
        <w:pStyle w:val="Heading3"/>
        <w:spacing w:after="60" w:before="200"/>
      </w:pPr>
      <w:r>
        <w:rPr>
          <w:rFonts w:ascii="Arial" w:cs="Arial" w:eastAsia="Arial" w:hAnsi="Arial"/>
          <w:b/>
          <w:bCs/>
          <w:color w:val="404040"/>
          <w:sz w:val="22"/>
          <w:szCs w:val="22"/>
        </w:rPr>
        <w:t xml:space="preserve">Learning objectives</w:t>
      </w:r>
    </w:p>
    <w:p>
      <w:pPr>
        <w:pStyle w:val="ListParagraph"/>
        <w:numPr>
          <w:ilvl w:val="0"/>
          <w:numId w:val="2"/>
        </w:numPr>
        <w:spacing w:after="40" w:before="40"/>
      </w:pPr>
      <w:r>
        <w:rPr>
          <w:rFonts w:ascii="Arial" w:cs="Arial" w:eastAsia="Arial" w:hAnsi="Arial"/>
          <w:sz w:val="20"/>
          <w:szCs w:val="20"/>
        </w:rPr>
        <w:t xml:space="preserve">Understand the structure of the EFEHR/SHARE REST API and how to query it programmatically</w:t>
      </w:r>
    </w:p>
    <w:p>
      <w:pPr>
        <w:pStyle w:val="ListParagraph"/>
        <w:numPr>
          <w:ilvl w:val="0"/>
          <w:numId w:val="2"/>
        </w:numPr>
        <w:spacing w:after="40" w:before="40"/>
      </w:pPr>
      <w:r>
        <w:rPr>
          <w:rFonts w:ascii="Arial" w:cs="Arial" w:eastAsia="Arial" w:hAnsi="Arial"/>
          <w:sz w:val="20"/>
          <w:szCs w:val="20"/>
        </w:rPr>
        <w:t xml:space="preserve">Interpret hazard curves: annual probability of exceedance vs. ground-motion intensity</w:t>
      </w:r>
    </w:p>
    <w:p>
      <w:pPr>
        <w:pStyle w:val="ListParagraph"/>
        <w:numPr>
          <w:ilvl w:val="0"/>
          <w:numId w:val="2"/>
        </w:numPr>
        <w:spacing w:after="40" w:before="40"/>
      </w:pPr>
      <w:r>
        <w:rPr>
          <w:rFonts w:ascii="Arial" w:cs="Arial" w:eastAsia="Arial" w:hAnsi="Arial"/>
          <w:sz w:val="20"/>
          <w:szCs w:val="20"/>
        </w:rPr>
        <w:t xml:space="preserve">Interpret Uniform Hazard Spectra (UHS) and relate them to structural design</w:t>
      </w:r>
    </w:p>
    <w:p>
      <w:pPr>
        <w:pStyle w:val="ListParagraph"/>
        <w:numPr>
          <w:ilvl w:val="0"/>
          <w:numId w:val="2"/>
        </w:numPr>
        <w:spacing w:after="40" w:before="40"/>
      </w:pPr>
      <w:r>
        <w:rPr>
          <w:rFonts w:ascii="Arial" w:cs="Arial" w:eastAsia="Arial" w:hAnsi="Arial"/>
          <w:sz w:val="20"/>
          <w:szCs w:val="20"/>
        </w:rPr>
        <w:t xml:space="preserve">Distinguish between ESHM13 and ESHM20 models and explain key differences</w:t>
      </w:r>
    </w:p>
    <w:p>
      <w:pPr>
        <w:pStyle w:val="ListParagraph"/>
        <w:numPr>
          <w:ilvl w:val="0"/>
          <w:numId w:val="2"/>
        </w:numPr>
        <w:spacing w:after="40" w:before="40"/>
      </w:pPr>
      <w:r>
        <w:rPr>
          <w:rFonts w:ascii="Arial" w:cs="Arial" w:eastAsia="Arial" w:hAnsi="Arial"/>
          <w:sz w:val="20"/>
          <w:szCs w:val="20"/>
        </w:rPr>
        <w:t xml:space="preserve">Quantify and visualise epistemic uncertainty using mean and percentile aggregations</w:t>
      </w:r>
    </w:p>
    <w:p>
      <w:pPr>
        <w:pStyle w:val="ListParagraph"/>
        <w:numPr>
          <w:ilvl w:val="0"/>
          <w:numId w:val="2"/>
        </w:numPr>
        <w:spacing w:after="40" w:before="40"/>
      </w:pPr>
      <w:r>
        <w:rPr>
          <w:rFonts w:ascii="Arial" w:cs="Arial" w:eastAsia="Arial" w:hAnsi="Arial"/>
          <w:sz w:val="20"/>
          <w:szCs w:val="20"/>
        </w:rPr>
        <w:t xml:space="preserve">Compare seismic hazard across European sites and link differences to tectonic setting</w:t>
      </w:r>
    </w:p>
    <w:p>
      <w:pPr>
        <w:spacing w:after="40" w:before="40"/>
      </w:pPr>
      <w:r>
        <w:t xml:space="preserve"/>
      </w:r>
    </w:p>
    <w:p>
      <w:pPr>
        <w:pStyle w:val="Heading3"/>
        <w:spacing w:after="60" w:before="200"/>
      </w:pPr>
      <w:r>
        <w:rPr>
          <w:rFonts w:ascii="Arial" w:cs="Arial" w:eastAsia="Arial" w:hAnsi="Arial"/>
          <w:b/>
          <w:bCs/>
          <w:color w:val="404040"/>
          <w:sz w:val="22"/>
          <w:szCs w:val="22"/>
        </w:rPr>
        <w:t xml:space="preserve">Session structure (suggested, ~3 hours)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26"/>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Time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Activity</w:t>
            </w:r>
          </w:p>
        </w:tc>
        <w:tc>
          <w:tcPr>
            <w:tcW w:type="dxa" w:w="5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0:00 – 0:20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Lecture</w:t>
            </w:r>
          </w:p>
        </w:tc>
        <w:tc>
          <w:tcPr>
            <w:tcW w:type="dxa" w:w="5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EFEHR platform, API architecture, hazard curve theory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0:20 – 0:50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Hands-on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Notebook 1 — Parameter Discovery for Messina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0:50 – 1:00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Discussion</w:t>
            </w:r>
          </w:p>
        </w:tc>
        <w:tc>
          <w:tcPr>
            <w:tcW w:type="dxa" w:w="5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What models are available? How are PoEs encoded? Soil types?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 – 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Hands-on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Notebook 2 — Exercises A through 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 2:30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Discussion</w:t>
            </w:r>
          </w:p>
        </w:tc>
        <w:tc>
          <w:tcPr>
            <w:tcW w:type="dxa" w:w="5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Compare results across groups; interpret UHS for engineering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2:30 – 3:00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Open lab</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Students choose their own sites; Q&amp;A</w:t>
            </w:r>
          </w:p>
        </w:tc>
      </w:tr>
    </w:tbl>
    <w:p>
      <w:pPr>
        <w:spacing w:after="40" w:before="4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2. Platform Background</w:t>
      </w:r>
    </w:p>
    <w:p>
      <w:pPr>
        <w:pStyle w:val="Heading2"/>
        <w:spacing w:after="80" w:before="280"/>
      </w:pPr>
      <w:r>
        <w:rPr>
          <w:rFonts w:ascii="Arial" w:cs="Arial" w:eastAsia="Arial" w:hAnsi="Arial"/>
          <w:b/>
          <w:bCs/>
          <w:color w:val="2E75B6"/>
          <w:sz w:val="24"/>
          <w:szCs w:val="24"/>
        </w:rPr>
        <w:t xml:space="preserve">2.1 EFEHR and the SHARE Project</w:t>
      </w:r>
    </w:p>
    <w:p>
      <w:pPr>
        <w:spacing w:after="80" w:before="60"/>
      </w:pPr>
      <w:r>
        <w:rPr>
          <w:rFonts w:ascii="Arial" w:cs="Arial" w:eastAsia="Arial" w:hAnsi="Arial"/>
          <w:sz w:val="20"/>
          <w:szCs w:val="20"/>
        </w:rPr>
        <w:t xml:space="preserve">The EFEHR platform serves results from the Seismic Hazard Harmonization in Europe (SHARE) project, funded under the EU Seventh Framework Programme. The platform currently exposes two generations of pan-European hazard models alongside national models that complement or replace the European results at finer resolution.</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826"/>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Key characteristics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ESHM13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71</w:t>
            </w:r>
          </w:p>
        </w:tc>
        <w:tc>
          <w:tcPr>
            <w:tcW w:type="dxa" w:w="5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First pan-European PSHA model; PGA + SA at 12 periods; Vs30=800 m/s rock reference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ESHM20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81</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Updated source model, new GMMs, full logic tree; PGA + SA at 17 periods (to 5 s); stores PoEs as annual rates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SUIhaz15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77</w:t>
            </w:r>
          </w:p>
        </w:tc>
        <w:tc>
          <w:tcPr>
            <w:tcW w:type="dxa" w:w="5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Swiss national model (2015); higher Vs30 reference (1105 m/s); PoEs in 50-year format</w:t>
            </w:r>
          </w:p>
        </w:tc>
      </w:tr>
    </w:tbl>
    <w:p>
      <w:pPr>
        <w:spacing w:after="40" w:before="40"/>
      </w:pPr>
      <w:r>
        <w:t xml:space="preserve"/>
      </w:r>
    </w:p>
    <w:p>
      <w:pPr>
        <w:pStyle w:val="Heading2"/>
        <w:spacing w:after="80" w:before="280"/>
      </w:pPr>
      <w:r>
        <w:rPr>
          <w:rFonts w:ascii="Arial" w:cs="Arial" w:eastAsia="Arial" w:hAnsi="Arial"/>
          <w:b/>
          <w:bCs/>
          <w:color w:val="2E75B6"/>
          <w:sz w:val="24"/>
          <w:szCs w:val="24"/>
        </w:rPr>
        <w:t xml:space="preserve">2.2 API architecture</w:t>
      </w:r>
    </w:p>
    <w:p>
      <w:pPr>
        <w:spacing w:after="80" w:before="60"/>
      </w:pPr>
      <w:r>
        <w:rPr>
          <w:rFonts w:ascii="Arial" w:cs="Arial" w:eastAsia="Arial" w:hAnsi="Arial"/>
          <w:sz w:val="20"/>
          <w:szCs w:val="20"/>
        </w:rPr>
        <w:t xml:space="preserve">The API is a cascading REST service: each query level unlocks the options for the next. There is no single endpoint that returns all available parameters at once.</w:t>
      </w:r>
    </w:p>
    <w:p>
      <w:pPr>
        <w:pBdr>
          <w:left w:val="single" w:color="2E75B6" w:sz="12"/>
        </w:pBdr>
        <w:shd w:fill="F0F0F0" w:val="clear"/>
        <w:spacing w:after="60" w:before="60"/>
        <w:ind w:left="360"/>
      </w:pPr>
      <w:r>
        <w:rPr>
          <w:rFonts w:ascii="Courier New" w:cs="Courier New" w:eastAsia="Courier New" w:hAnsi="Courier New"/>
          <w:color w:val="2D2D2D"/>
          <w:sz w:val="18"/>
          <w:szCs w:val="18"/>
        </w:rPr>
        <w:t xml:space="preserve">Base URL:  http://appsrvr.share-eu.org:8080/share</w:t>
      </w:r>
    </w:p>
    <w:p>
      <w:pPr>
        <w:pBdr>
          <w:left w:val="single" w:color="2E75B6" w:sz="12"/>
        </w:pBdr>
        <w:shd w:fill="F0F0F0" w:val="clear"/>
        <w:spacing w:after="60" w:before="60"/>
        <w:ind w:left="360"/>
      </w:pPr>
      <w:r>
        <w:rPr>
          <w:rFonts w:ascii="Courier New" w:cs="Courier New" w:eastAsia="Courier New" w:hAnsi="Courier New"/>
          <w:color w:val="2D2D2D"/>
          <w:sz w:val="18"/>
          <w:szCs w:val="18"/>
        </w:rPr>
        <w:t xml:space="preserve">Level 1  →  /curve?lat={lat}&amp;lon={lon}                            → models</w:t>
      </w:r>
    </w:p>
    <w:p>
      <w:pPr>
        <w:pBdr>
          <w:left w:val="single" w:color="2E75B6" w:sz="12"/>
        </w:pBdr>
        <w:shd w:fill="F0F0F0" w:val="clear"/>
        <w:spacing w:after="60" w:before="60"/>
        <w:ind w:left="360"/>
      </w:pPr>
      <w:r>
        <w:rPr>
          <w:rFonts w:ascii="Courier New" w:cs="Courier New" w:eastAsia="Courier New" w:hAnsi="Courier New"/>
          <w:color w:val="2D2D2D"/>
          <w:sz w:val="18"/>
          <w:szCs w:val="18"/>
        </w:rPr>
        <w:t xml:space="preserve">Level 2  →  /curve?lat=...&amp;lon=...&amp;id={model_id}                  → IMTs</w:t>
      </w:r>
    </w:p>
    <w:p>
      <w:pPr>
        <w:pBdr>
          <w:left w:val="single" w:color="2E75B6" w:sz="12"/>
        </w:pBdr>
        <w:shd w:fill="F0F0F0" w:val="clear"/>
        <w:spacing w:after="60" w:before="60"/>
        <w:ind w:left="360"/>
      </w:pPr>
      <w:r>
        <w:rPr>
          <w:rFonts w:ascii="Courier New" w:cs="Courier New" w:eastAsia="Courier New" w:hAnsi="Courier New"/>
          <w:color w:val="2D2D2D"/>
          <w:sz w:val="18"/>
          <w:szCs w:val="18"/>
        </w:rPr>
        <w:t xml:space="preserve">Level 3  →  /curve?...&amp;imt={imt}                                  → soil types</w:t>
      </w:r>
    </w:p>
    <w:p>
      <w:pPr>
        <w:pBdr>
          <w:left w:val="single" w:color="2E75B6" w:sz="12"/>
        </w:pBdr>
        <w:shd w:fill="F0F0F0" w:val="clear"/>
        <w:spacing w:after="60" w:before="60"/>
        <w:ind w:left="360"/>
      </w:pPr>
      <w:r>
        <w:rPr>
          <w:rFonts w:ascii="Courier New" w:cs="Courier New" w:eastAsia="Courier New" w:hAnsi="Courier New"/>
          <w:color w:val="2D2D2D"/>
          <w:sz w:val="18"/>
          <w:szCs w:val="18"/>
        </w:rPr>
        <w:t xml:space="preserve">Level 4  →  /curve?...&amp;soiltype={soil}                            → aggregations</w:t>
      </w:r>
    </w:p>
    <w:p>
      <w:pPr>
        <w:pBdr>
          <w:left w:val="single" w:color="2E75B6" w:sz="12"/>
        </w:pBdr>
        <w:shd w:fill="F0F0F0" w:val="clear"/>
        <w:spacing w:after="60" w:before="60"/>
        <w:ind w:left="360"/>
      </w:pPr>
      <w:r>
        <w:rPr>
          <w:rFonts w:ascii="Courier New" w:cs="Courier New" w:eastAsia="Courier New" w:hAnsi="Courier New"/>
          <w:color w:val="2D2D2D"/>
          <w:sz w:val="18"/>
          <w:szCs w:val="18"/>
        </w:rPr>
        <w:t xml:space="preserve">Level 5  →  /spectra?...&amp;imt=SA                                   → PoEs</w:t>
      </w:r>
    </w:p>
    <w:p>
      <w:pPr>
        <w:spacing w:after="40" w:before="40"/>
      </w:pPr>
      <w:r>
        <w:t xml:space="preserve"/>
      </w:r>
    </w:p>
    <w:p>
      <w:pPr>
        <w:pStyle w:val="Heading2"/>
        <w:spacing w:after="80" w:before="280"/>
      </w:pPr>
      <w:r>
        <w:rPr>
          <w:rFonts w:ascii="Arial" w:cs="Arial" w:eastAsia="Arial" w:hAnsi="Arial"/>
          <w:b/>
          <w:bCs/>
          <w:color w:val="2E75B6"/>
          <w:sz w:val="24"/>
          <w:szCs w:val="24"/>
        </w:rPr>
        <w:t xml:space="preserve">2.3 Key parameters explained</w:t>
      </w:r>
    </w:p>
    <w:p>
      <w:pPr>
        <w:pStyle w:val="Heading3"/>
        <w:spacing w:after="60" w:before="200"/>
      </w:pPr>
      <w:r>
        <w:rPr>
          <w:rFonts w:ascii="Arial" w:cs="Arial" w:eastAsia="Arial" w:hAnsi="Arial"/>
          <w:b/>
          <w:bCs/>
          <w:color w:val="404040"/>
          <w:sz w:val="22"/>
          <w:szCs w:val="22"/>
        </w:rPr>
        <w:t xml:space="preserve">Intensity Measure Types (IMTs)</w:t>
      </w:r>
    </w:p>
    <w:p>
      <w:pPr>
        <w:spacing w:after="80" w:before="60"/>
      </w:pPr>
      <w:r>
        <w:rPr>
          <w:rFonts w:ascii="Arial" w:cs="Arial" w:eastAsia="Arial" w:hAnsi="Arial"/>
          <w:sz w:val="20"/>
          <w:szCs w:val="20"/>
        </w:rPr>
        <w:t xml:space="preserve">ESHM20 provides PGA (Peak Ground Acceleration) and Spectral Acceleration (SA) at 17 structural periods from 0.05 s to 5.0 s. All values are in units of g (gravitational acceleration).</w:t>
      </w:r>
    </w:p>
    <w:p>
      <w:pPr>
        <w:pStyle w:val="ListParagraph"/>
        <w:numPr>
          <w:ilvl w:val="0"/>
          <w:numId w:val="2"/>
        </w:numPr>
        <w:spacing w:after="40" w:before="40"/>
      </w:pPr>
      <w:r>
        <w:rPr>
          <w:rFonts w:ascii="Arial" w:cs="Arial" w:eastAsia="Arial" w:hAnsi="Arial"/>
          <w:sz w:val="20"/>
          <w:szCs w:val="20"/>
        </w:rPr>
        <w:t xml:space="preserve">PGA is the maximum acceleration of the ground — approximately equivalent to SA at T = 0 s</w:t>
      </w:r>
    </w:p>
    <w:p>
      <w:pPr>
        <w:pStyle w:val="ListParagraph"/>
        <w:numPr>
          <w:ilvl w:val="0"/>
          <w:numId w:val="2"/>
        </w:numPr>
        <w:spacing w:after="40" w:before="40"/>
      </w:pPr>
      <w:r>
        <w:rPr>
          <w:rFonts w:ascii="Arial" w:cs="Arial" w:eastAsia="Arial" w:hAnsi="Arial"/>
          <w:sz w:val="20"/>
          <w:szCs w:val="20"/>
        </w:rPr>
        <w:t xml:space="preserve">SA[0.20s] is the spectral acceleration at a period of 0.2 s — relevant for stiff low-rise structures</w:t>
      </w:r>
    </w:p>
    <w:p>
      <w:pPr>
        <w:pStyle w:val="ListParagraph"/>
        <w:numPr>
          <w:ilvl w:val="0"/>
          <w:numId w:val="2"/>
        </w:numPr>
        <w:spacing w:after="40" w:before="40"/>
      </w:pPr>
      <w:r>
        <w:rPr>
          <w:rFonts w:ascii="Arial" w:cs="Arial" w:eastAsia="Arial" w:hAnsi="Arial"/>
          <w:sz w:val="20"/>
          <w:szCs w:val="20"/>
        </w:rPr>
        <w:t xml:space="preserve">SA[1.00s] is relevant for mid-rise buildings (roughly 8–10 storeys)</w:t>
      </w:r>
    </w:p>
    <w:p>
      <w:pPr>
        <w:pStyle w:val="ListParagraph"/>
        <w:numPr>
          <w:ilvl w:val="0"/>
          <w:numId w:val="2"/>
        </w:numPr>
        <w:spacing w:after="40" w:before="40"/>
      </w:pPr>
      <w:r>
        <w:rPr>
          <w:rFonts w:ascii="Arial" w:cs="Arial" w:eastAsia="Arial" w:hAnsi="Arial"/>
          <w:sz w:val="20"/>
          <w:szCs w:val="20"/>
        </w:rPr>
        <w:t xml:space="preserve">SA[3.00s] and above are relevant for long-period structures: tall buildings, bridges, isolated structures</w:t>
      </w:r>
    </w:p>
    <w:p>
      <w:pPr>
        <w:spacing w:after="40" w:before="40"/>
      </w:pPr>
      <w:r>
        <w:t xml:space="preserve"/>
      </w:r>
    </w:p>
    <w:p>
      <w:pPr>
        <w:pStyle w:val="Heading3"/>
        <w:spacing w:after="60" w:before="200"/>
      </w:pPr>
      <w:r>
        <w:rPr>
          <w:rFonts w:ascii="Arial" w:cs="Arial" w:eastAsia="Arial" w:hAnsi="Arial"/>
          <w:b/>
          <w:bCs/>
          <w:color w:val="404040"/>
          <w:sz w:val="22"/>
          <w:szCs w:val="22"/>
        </w:rPr>
        <w:t xml:space="preserve">Soil types</w:t>
      </w:r>
    </w:p>
    <w:p>
      <w:pPr>
        <w:spacing w:after="80" w:before="60"/>
      </w:pPr>
      <w:r>
        <w:rPr>
          <w:rFonts w:ascii="Arial" w:cs="Arial" w:eastAsia="Arial" w:hAnsi="Arial"/>
          <w:sz w:val="20"/>
          <w:szCs w:val="20"/>
        </w:rPr>
        <w:t xml:space="preserve">The API returns hazard on a rock reference site (Vs30 = 800 m/s for ESHM20/ESHM13; Vs30 = 1105 m/s for SUIhaz15). To estimate hazard on softer soils, apply site amplification factors. Eurocode 8 defines five soil categories (A through E) with corresponding amplification factors S and spectral shape parameters.</w:t>
      </w:r>
    </w:p>
    <w:p>
      <w:pPr>
        <w:spacing w:after="40" w:before="40"/>
      </w:pPr>
      <w:r>
        <w:t xml:space="preserve"/>
      </w:r>
    </w:p>
    <w:p>
      <w:pPr>
        <w:pStyle w:val="Heading3"/>
        <w:spacing w:after="60" w:before="200"/>
      </w:pPr>
      <w:r>
        <w:rPr>
          <w:rFonts w:ascii="Arial" w:cs="Arial" w:eastAsia="Arial" w:hAnsi="Arial"/>
          <w:b/>
          <w:bCs/>
          <w:color w:val="404040"/>
          <w:sz w:val="22"/>
          <w:szCs w:val="22"/>
        </w:rPr>
        <w:t xml:space="preserve">Aggregation types — handling epistemic uncertainty</w:t>
      </w:r>
    </w:p>
    <w:p>
      <w:pPr>
        <w:spacing w:after="80" w:before="60"/>
      </w:pPr>
      <w:r>
        <w:rPr>
          <w:rFonts w:ascii="Arial" w:cs="Arial" w:eastAsia="Arial" w:hAnsi="Arial"/>
          <w:sz w:val="20"/>
          <w:szCs w:val="20"/>
        </w:rPr>
        <w:t xml:space="preserve">Probabilistic hazard models incorporate epistemic uncertainty through a logic tree: multiple plausible choices of source models and ground-motion models, each weighted by expert judgment. The API exposes the following aggregations across logic-tree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Key</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Label</w:t>
            </w:r>
          </w:p>
        </w:tc>
        <w:tc>
          <w:tcPr>
            <w:tcW w:type="dxa" w:w="4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arithmetic 0.5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Mean</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Weighted arithmetic mean across all logic-tree branches — recommended for engineering design (Bommer &amp; Scherbaum, 2008)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ordinal 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Median</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50th percentile: half of branches predict lower hazard, half predict higher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ordinal 0.16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16th pct.</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Lower epistemic uncertainty bound (approximately mean minus one sigma if distribution were log-normal)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ordinal 0.84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84th pct.</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Upper epistemic uncertainty bound — used in safety-critical applications</w:t>
            </w:r>
          </w:p>
        </w:tc>
      </w:tr>
    </w:tbl>
    <w:p>
      <w:pPr>
        <w:spacing w:after="40" w:before="40"/>
      </w:pPr>
      <w:r>
        <w:t xml:space="preserve"/>
      </w:r>
    </w:p>
    <w:p>
      <w:pPr>
        <w:pStyle w:val="Heading3"/>
        <w:spacing w:after="60" w:before="200"/>
      </w:pPr>
      <w:r>
        <w:rPr>
          <w:rFonts w:ascii="Arial" w:cs="Arial" w:eastAsia="Arial" w:hAnsi="Arial"/>
          <w:b/>
          <w:bCs/>
          <w:color w:val="404040"/>
          <w:sz w:val="22"/>
          <w:szCs w:val="22"/>
        </w:rPr>
        <w:t xml:space="preserve">Probabilities of exceedance — the ESHM20 format</w:t>
      </w:r>
    </w:p>
    <w:p>
      <w:pPr>
        <w:spacing w:after="80" w:before="60"/>
      </w:pPr>
      <w:r>
        <w:rPr>
          <w:rFonts w:ascii="Arial" w:cs="Arial" w:eastAsia="Arial" w:hAnsi="Arial"/>
          <w:sz w:val="20"/>
          <w:szCs w:val="20"/>
        </w:rPr>
        <w:t xml:space="preserve">ESHM13 and national models store PoEs as cumulative probabilities over a 50-year exposure period (e.g., 10% in 50 years). ESHM20 stores PoEs as annual exceedance rates (timespan = 1 year). Both formats encode the same information. The conversion is:</w:t>
      </w:r>
    </w:p>
    <w:p>
      <w:pPr>
        <w:pBdr>
          <w:left w:val="single" w:color="2E75B6" w:sz="12"/>
        </w:pBdr>
        <w:shd w:fill="F0F0F0" w:val="clear"/>
        <w:spacing w:after="60" w:before="60"/>
        <w:ind w:left="360"/>
      </w:pPr>
      <w:r>
        <w:rPr>
          <w:rFonts w:ascii="Courier New" w:cs="Courier New" w:eastAsia="Courier New" w:hAnsi="Courier New"/>
          <w:color w:val="2D2D2D"/>
          <w:sz w:val="18"/>
          <w:szCs w:val="18"/>
        </w:rPr>
        <w:t xml:space="preserve">Annual rate λ = −ln(1 − P) / T</w:t>
      </w:r>
    </w:p>
    <w:p>
      <w:pPr>
        <w:pBdr>
          <w:left w:val="single" w:color="2E75B6" w:sz="12"/>
        </w:pBdr>
        <w:shd w:fill="F0F0F0" w:val="clear"/>
        <w:spacing w:after="60" w:before="60"/>
        <w:ind w:left="360"/>
      </w:pPr>
      <w:r>
        <w:rPr>
          <w:rFonts w:ascii="Courier New" w:cs="Courier New" w:eastAsia="Courier New" w:hAnsi="Courier New"/>
          <w:color w:val="2D2D2D"/>
          <w:sz w:val="18"/>
          <w:szCs w:val="18"/>
        </w:rPr>
        <w:t xml:space="preserve">Return period T_R = 1 / λ</w:t>
      </w:r>
    </w:p>
    <w:p>
      <w:pPr>
        <w:pBdr>
          <w:left w:val="single" w:color="2E75B6" w:sz="12"/>
        </w:pBdr>
        <w:shd w:fill="F0F0F0" w:val="clear"/>
        <w:spacing w:after="60" w:before="60"/>
        <w:ind w:left="360"/>
      </w:pPr>
      <w:r>
        <w:rPr>
          <w:rFonts w:ascii="Courier New" w:cs="Courier New" w:eastAsia="Courier New" w:hAnsi="Courier New"/>
          <w:color w:val="2D2D2D"/>
          <w:sz w:val="18"/>
          <w:szCs w:val="18"/>
        </w:rPr>
        <w:t xml:space="preserve">Prob. in 50 yr = 1 − exp(−λ × 50)</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200"/>
        <w:gridCol w:w="2226"/>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ESHM20 annual rate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Return period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Prob. in 50 years</w:t>
            </w:r>
          </w:p>
        </w:tc>
        <w:tc>
          <w:tcPr>
            <w:tcW w:type="dxa" w:w="2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Engineering meaning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50 yr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63%</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Expected once in a lifetime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0.00989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~101 yr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~39%</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Moderate design level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0.002103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~475 yr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~10%</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Eurocode 8 design basis earthquake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0.0010249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~975 yr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Damage limitation / importance class II+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3.99999E-4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~2500 yr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Near-collapse limit state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1.9999E-4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~5000 yr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Safety-critical / nuclear facilities</w:t>
            </w:r>
          </w:p>
        </w:tc>
      </w:tr>
    </w:tbl>
    <w:p>
      <w:pPr>
        <w:spacing w:after="40" w:before="4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3. Notebook Workflows</w:t>
      </w:r>
    </w:p>
    <w:p>
      <w:pPr>
        <w:pStyle w:val="Heading2"/>
        <w:spacing w:after="80" w:before="280"/>
      </w:pPr>
      <w:r>
        <w:rPr>
          <w:rFonts w:ascii="Arial" w:cs="Arial" w:eastAsia="Arial" w:hAnsi="Arial"/>
          <w:b/>
          <w:bCs/>
          <w:color w:val="2E75B6"/>
          <w:sz w:val="24"/>
          <w:szCs w:val="24"/>
        </w:rPr>
        <w:t xml:space="preserve">3.1 File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54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01_Parameter_Discovery.ipynb</w:t>
            </w:r>
          </w:p>
        </w:tc>
        <w:tc>
          <w:tcPr>
            <w:tcW w:type="dxa" w:w="5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Queries the API and saves all available parameters for the chosen site to hazard_config.yaml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02_Interactive_Plotter.ipynb</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Reads hazard_config.yaml, fetches hazard data, and generates publication-quality plots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hazard_config.yaml</w:t>
            </w:r>
          </w:p>
        </w:tc>
        <w:tc>
          <w:tcPr>
            <w:tcW w:type="dxa" w:w="5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Auto-generated bridge file: lists available models, IMTs, soil types, aggregations, and PoEs</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8"/>
              <w:left w:val="single" w:color="CCCCCC" w:sz="1"/>
              <w:bottom w:val="single" w:color="CCCCCC" w:sz="1"/>
              <w:right w:val="single" w:color="CCCCCC" w:sz="1"/>
            </w:tcBorders>
            <w:shd w:fill="D6E4F0" w:val="clear"/>
            <w:tcMar>
              <w:top w:type="dxa" w:w="120"/>
              <w:left w:type="dxa" w:w="200"/>
              <w:bottom w:type="dxa" w:w="120"/>
              <w:right w:type="dxa" w:w="200"/>
            </w:tcMar>
          </w:tcPr>
          <w:p>
            <w:pPr>
              <w:spacing w:after="40" w:before="40"/>
            </w:pPr>
            <w:r>
              <w:rPr>
                <w:rFonts w:ascii="Arial" w:cs="Arial" w:eastAsia="Arial" w:hAnsi="Arial"/>
                <w:b/>
                <w:bCs/>
                <w:sz w:val="20"/>
                <w:szCs w:val="20"/>
              </w:rPr>
              <w:t xml:space="preserve">Important: </w:t>
            </w:r>
            <w:r>
              <w:rPr>
                <w:rFonts w:ascii="Arial" w:cs="Arial" w:eastAsia="Arial" w:hAnsi="Arial"/>
                <w:sz w:val="20"/>
                <w:szCs w:val="20"/>
              </w:rPr>
              <w:t xml:space="preserve">Always run Notebook 1 before Notebook 2. The YAML file is site-specific — if you change the location, re-run Notebook 1 to regenerate it.</w:t>
            </w:r>
          </w:p>
        </w:tc>
      </w:tr>
    </w:tbl>
    <w:p>
      <w:pPr>
        <w:spacing w:after="40" w:before="40"/>
      </w:pPr>
      <w:r>
        <w:t xml:space="preserve"/>
      </w:r>
    </w:p>
    <w:p>
      <w:pPr>
        <w:pStyle w:val="Heading2"/>
        <w:spacing w:after="80" w:before="280"/>
      </w:pPr>
      <w:r>
        <w:rPr>
          <w:rFonts w:ascii="Arial" w:cs="Arial" w:eastAsia="Arial" w:hAnsi="Arial"/>
          <w:b/>
          <w:bCs/>
          <w:color w:val="2E75B6"/>
          <w:sz w:val="24"/>
          <w:szCs w:val="24"/>
        </w:rPr>
        <w:t xml:space="preserve">3.2 Notebook 1 — Parameter Discovery</w:t>
      </w:r>
    </w:p>
    <w:p>
      <w:pPr>
        <w:spacing w:after="80" w:before="60"/>
      </w:pPr>
      <w:r>
        <w:rPr>
          <w:rFonts w:ascii="Arial" w:cs="Arial" w:eastAsia="Arial" w:hAnsi="Arial"/>
          <w:sz w:val="20"/>
          <w:szCs w:val="20"/>
        </w:rPr>
        <w:t xml:space="preserve">Notebook 1 walks through five API query levels and saves a YAML configuration file. The key improvement over the original notebook is the return-period conversion: PoEs are now displayed as "475-yr RP (10% in 50y)" rather than raw annual rates, which are harder to interpret.</w:t>
      </w:r>
    </w:p>
    <w:p>
      <w:pPr>
        <w:spacing w:after="40" w:before="40"/>
      </w:pPr>
      <w:r>
        <w:t xml:space="preserve"/>
      </w:r>
    </w:p>
    <w:p>
      <w:pPr>
        <w:pStyle w:val="Heading3"/>
        <w:spacing w:after="60" w:before="200"/>
      </w:pPr>
      <w:r>
        <w:rPr>
          <w:rFonts w:ascii="Arial" w:cs="Arial" w:eastAsia="Arial" w:hAnsi="Arial"/>
          <w:b/>
          <w:bCs/>
          <w:color w:val="404040"/>
          <w:sz w:val="22"/>
          <w:szCs w:val="22"/>
        </w:rPr>
        <w:t xml:space="preserve">Step-by-step workflow</w:t>
      </w:r>
    </w:p>
    <w:p>
      <w:pPr>
        <w:pStyle w:val="ListParagraph"/>
        <w:numPr>
          <w:ilvl w:val="0"/>
          <w:numId w:val="3"/>
        </w:numPr>
        <w:spacing w:after="40" w:before="40"/>
      </w:pPr>
      <w:r>
        <w:rPr>
          <w:rFonts w:ascii="Arial" w:cs="Arial" w:eastAsia="Arial" w:hAnsi="Arial"/>
          <w:sz w:val="20"/>
          <w:szCs w:val="20"/>
        </w:rPr>
        <w:t xml:space="preserve">Open 01_Parameter_Discovery.ipynb</w:t>
      </w:r>
    </w:p>
    <w:p>
      <w:pPr>
        <w:pStyle w:val="ListParagraph"/>
        <w:numPr>
          <w:ilvl w:val="0"/>
          <w:numId w:val="3"/>
        </w:numPr>
        <w:spacing w:after="40" w:before="40"/>
      </w:pPr>
      <w:r>
        <w:rPr>
          <w:rFonts w:ascii="Arial" w:cs="Arial" w:eastAsia="Arial" w:hAnsi="Arial"/>
          <w:sz w:val="20"/>
          <w:szCs w:val="20"/>
        </w:rPr>
        <w:t xml:space="preserve">In Cell 2, set LAT and LON to your site coordinates</w:t>
      </w:r>
    </w:p>
    <w:p>
      <w:pPr>
        <w:pStyle w:val="ListParagraph"/>
        <w:numPr>
          <w:ilvl w:val="0"/>
          <w:numId w:val="3"/>
        </w:numPr>
        <w:spacing w:after="40" w:before="40"/>
      </w:pPr>
      <w:r>
        <w:rPr>
          <w:rFonts w:ascii="Arial" w:cs="Arial" w:eastAsia="Arial" w:hAnsi="Arial"/>
          <w:sz w:val="20"/>
          <w:szCs w:val="20"/>
        </w:rPr>
        <w:t xml:space="preserve">Run all cells in order (Cell 1 → Cell 6)</w:t>
      </w:r>
    </w:p>
    <w:p>
      <w:pPr>
        <w:pStyle w:val="ListParagraph"/>
        <w:numPr>
          <w:ilvl w:val="0"/>
          <w:numId w:val="3"/>
        </w:numPr>
        <w:spacing w:after="40" w:before="40"/>
      </w:pPr>
      <w:r>
        <w:rPr>
          <w:rFonts w:ascii="Arial" w:cs="Arial" w:eastAsia="Arial" w:hAnsi="Arial"/>
          <w:sz w:val="20"/>
          <w:szCs w:val="20"/>
        </w:rPr>
        <w:t xml:space="preserve">Read the summary table in Cell 6 — note the model IDs, available IMTs, and PoE labels</w:t>
      </w:r>
    </w:p>
    <w:p>
      <w:pPr>
        <w:pStyle w:val="ListParagraph"/>
        <w:numPr>
          <w:ilvl w:val="0"/>
          <w:numId w:val="3"/>
        </w:numPr>
        <w:spacing w:after="40" w:before="40"/>
      </w:pPr>
      <w:r>
        <w:rPr>
          <w:rFonts w:ascii="Arial" w:cs="Arial" w:eastAsia="Arial" w:hAnsi="Arial"/>
          <w:sz w:val="20"/>
          <w:szCs w:val="20"/>
        </w:rPr>
        <w:t xml:space="preserve">The file hazard_config.yaml is now ready for Notebook 2</w:t>
      </w:r>
    </w:p>
    <w:p>
      <w:pPr>
        <w:spacing w:after="40" w:before="40"/>
      </w:pPr>
      <w:r>
        <w:t xml:space="preserve"/>
      </w:r>
    </w:p>
    <w:p>
      <w:pPr>
        <w:pStyle w:val="Heading3"/>
        <w:spacing w:after="60" w:before="200"/>
      </w:pPr>
      <w:r>
        <w:rPr>
          <w:rFonts w:ascii="Arial" w:cs="Arial" w:eastAsia="Arial" w:hAnsi="Arial"/>
          <w:b/>
          <w:bCs/>
          <w:color w:val="404040"/>
          <w:sz w:val="22"/>
          <w:szCs w:val="22"/>
        </w:rPr>
        <w:t xml:space="preserve">Suggested sites for class exercises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626"/>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City</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Latitude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Longitude</w:t>
            </w:r>
          </w:p>
        </w:tc>
        <w:tc>
          <w:tcPr>
            <w:tcW w:type="dxa" w:w="46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Tectonic context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Messina (default)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38.19</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15.55</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Calabrian subduction arc, 1908 M7.1 earthquake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Catania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37.50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15.09</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Etna volcano, Eastern Sicily seismicity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L'Aquila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42.35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13.40</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Central Apennines extensional graben; 2009 Mw 6.3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Bucharest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44.43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26.10</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Vrancea intermediate-depth seismicity (80-170 km)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Basel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47.56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7.59</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Moderate intraplate hazard; 1356 Basel earthquake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Milan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45.46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9.19</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 Plain; low-to-moderate hazard; useful contrast with Messina</w:t>
            </w:r>
          </w:p>
        </w:tc>
      </w:tr>
    </w:tbl>
    <w:p>
      <w:pPr>
        <w:spacing w:after="40" w:before="40"/>
      </w:pPr>
      <w:r>
        <w:t xml:space="preserve"/>
      </w:r>
    </w:p>
    <w:p>
      <w:pPr>
        <w:pStyle w:val="Heading2"/>
        <w:spacing w:after="80" w:before="280"/>
      </w:pPr>
      <w:r>
        <w:rPr>
          <w:rFonts w:ascii="Arial" w:cs="Arial" w:eastAsia="Arial" w:hAnsi="Arial"/>
          <w:b/>
          <w:bCs/>
          <w:color w:val="2E75B6"/>
          <w:sz w:val="24"/>
          <w:szCs w:val="24"/>
        </w:rPr>
        <w:t xml:space="preserve">3.3 Notebook 2 — Interactive Plotter</w:t>
      </w:r>
    </w:p>
    <w:p>
      <w:pPr>
        <w:spacing w:after="80" w:before="60"/>
      </w:pPr>
      <w:r>
        <w:rPr>
          <w:rFonts w:ascii="Arial" w:cs="Arial" w:eastAsia="Arial" w:hAnsi="Arial"/>
          <w:sz w:val="20"/>
          <w:szCs w:val="20"/>
        </w:rPr>
        <w:t xml:space="preserve">Notebook 2 contains five structured exercises. Each exercise has a clearly marked configuration block at the top of the cell — students edit only those values and run the cell. This "configure then run" pattern is more robust in Jupyter than interactive prompts, as it avoids kernel blocking and makes parameter choices reproducible.</w:t>
      </w:r>
    </w:p>
    <w:p>
      <w:pPr>
        <w:spacing w:after="40" w:before="40"/>
      </w:pPr>
      <w:r>
        <w:t xml:space="preserve"/>
      </w:r>
    </w:p>
    <w:p>
      <w:pPr>
        <w:pStyle w:val="Heading3"/>
        <w:spacing w:after="60" w:before="200"/>
      </w:pPr>
      <w:r>
        <w:rPr>
          <w:rFonts w:ascii="Arial" w:cs="Arial" w:eastAsia="Arial" w:hAnsi="Arial"/>
          <w:b/>
          <w:bCs/>
          <w:color w:val="404040"/>
          <w:sz w:val="22"/>
          <w:szCs w:val="22"/>
        </w:rPr>
        <w:t xml:space="preserve">Exercise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800"/>
        <w:gridCol w:w="4026"/>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Ex.</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Cell</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What is plotted</w:t>
            </w:r>
          </w:p>
        </w:tc>
        <w:tc>
          <w:tcPr>
            <w:tcW w:type="dxa" w:w="4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Learning goal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Cell 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Single hazard curve — PGA, ESHM20, mean</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Read off PGA at 475-yr return period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Cell 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Mean + 16th and 84th percentile curves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Visualise epistemic uncertainty; interpret logic-tree spread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Cell 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ESHM13 vs. ESHM20 mean PGA curves</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Compare two model generations; discuss reasons for changes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Cell 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Uniform Hazard Spectrum at 475-yr RP</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Relate spectral shape to structural period; read design SA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Cell 10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PGA hazard curves for 5 Italian cities</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Link hazard differences to tectonic setting</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8"/>
              <w:left w:val="single" w:color="CCCCCC" w:sz="1"/>
              <w:bottom w:val="single" w:color="CCCCCC" w:sz="1"/>
              <w:right w:val="single" w:color="CCCCCC" w:sz="1"/>
            </w:tcBorders>
            <w:shd w:fill="D6E4F0" w:val="clear"/>
            <w:tcMar>
              <w:top w:type="dxa" w:w="120"/>
              <w:left w:type="dxa" w:w="200"/>
              <w:bottom w:type="dxa" w:w="120"/>
              <w:right w:type="dxa" w:w="200"/>
            </w:tcMar>
          </w:tcPr>
          <w:p>
            <w:pPr>
              <w:spacing w:after="40" w:before="40"/>
            </w:pPr>
            <w:r>
              <w:rPr>
                <w:rFonts w:ascii="Arial" w:cs="Arial" w:eastAsia="Arial" w:hAnsi="Arial"/>
                <w:b/>
                <w:bCs/>
                <w:sz w:val="20"/>
                <w:szCs w:val="20"/>
              </w:rPr>
              <w:t xml:space="preserve">Tip — if a plot shows no data: </w:t>
            </w:r>
            <w:r>
              <w:rPr>
                <w:rFonts w:ascii="Arial" w:cs="Arial" w:eastAsia="Arial" w:hAnsi="Arial"/>
                <w:sz w:val="20"/>
                <w:szCs w:val="20"/>
              </w:rPr>
              <w:t xml:space="preserve">run the Debug cell (Cell 11) with debug=True to print the raw API response. Common causes: (1) the PoE value does not match what the model stores for that site; (2) the coordinates are outside the model domain; (3) network latency — wait and retry.</w:t>
            </w:r>
          </w:p>
        </w:tc>
      </w:tr>
    </w:tbl>
    <w:p>
      <w:pPr>
        <w:spacing w:after="40" w:before="4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4. Discussion Questions and Answers</w:t>
      </w:r>
    </w:p>
    <w:p>
      <w:pPr>
        <w:pStyle w:val="Heading3"/>
        <w:spacing w:after="60" w:before="200"/>
      </w:pPr>
      <w:r>
        <w:rPr>
          <w:rFonts w:ascii="Arial" w:cs="Arial" w:eastAsia="Arial" w:hAnsi="Arial"/>
          <w:b/>
          <w:bCs/>
          <w:color w:val="404040"/>
          <w:sz w:val="22"/>
          <w:szCs w:val="22"/>
        </w:rPr>
        <w:t xml:space="preserve">Q1: Why does ESHM20 store PoEs as annual rates instead of cumulative probabilities over 50 years?</w:t>
      </w:r>
    </w:p>
    <w:p>
      <w:pPr>
        <w:spacing w:after="80" w:before="60"/>
      </w:pPr>
      <w:r>
        <w:rPr>
          <w:rFonts w:ascii="Arial" w:cs="Arial" w:eastAsia="Arial" w:hAnsi="Arial"/>
          <w:sz w:val="20"/>
          <w:szCs w:val="20"/>
        </w:rPr>
        <w:t xml:space="preserve">Annual rates are the natural output of a Poisson process model of earthquake occurrence. They are time-independent and can be combined with any exposure window using P = 1 − exp(−λ T). Storing annual rates avoids implying a specific reference period (50 years is a convention, not a physical property of seismicity).</w:t>
      </w:r>
    </w:p>
    <w:p>
      <w:pPr>
        <w:spacing w:after="40" w:before="40"/>
      </w:pPr>
      <w:r>
        <w:t xml:space="preserve"/>
      </w:r>
    </w:p>
    <w:p>
      <w:pPr>
        <w:pStyle w:val="Heading3"/>
        <w:spacing w:after="60" w:before="200"/>
      </w:pPr>
      <w:r>
        <w:rPr>
          <w:rFonts w:ascii="Arial" w:cs="Arial" w:eastAsia="Arial" w:hAnsi="Arial"/>
          <w:b/>
          <w:bCs/>
          <w:color w:val="404040"/>
          <w:sz w:val="22"/>
          <w:szCs w:val="22"/>
        </w:rPr>
        <w:t xml:space="preserve">Q2: What is the difference between the arithmetic mean and the median in a hazard logic tree?</w:t>
      </w:r>
    </w:p>
    <w:p>
      <w:pPr>
        <w:spacing w:after="80" w:before="60"/>
      </w:pPr>
      <w:r>
        <w:rPr>
          <w:rFonts w:ascii="Arial" w:cs="Arial" w:eastAsia="Arial" w:hAnsi="Arial"/>
          <w:sz w:val="20"/>
          <w:szCs w:val="20"/>
        </w:rPr>
        <w:t xml:space="preserve">In a hazard logic tree with N branches, each weighted wi, the arithmetic mean hazard at a given IML level is the weighted sum Σ wi × hi, where hi is the hazard from branch i. The median is the value such that 50% of the cumulative branch weight falls below it. Because hazard values are log-normally distributed across branches, the median is typically lower than the mean — the mean is pulled upward by high-hazard tail branches. For design purposes, the arithmetic mean is preferred.</w:t>
      </w:r>
    </w:p>
    <w:p>
      <w:pPr>
        <w:spacing w:after="40" w:before="40"/>
      </w:pPr>
      <w:r>
        <w:t xml:space="preserve"/>
      </w:r>
    </w:p>
    <w:p>
      <w:pPr>
        <w:pStyle w:val="Heading3"/>
        <w:spacing w:after="60" w:before="200"/>
      </w:pPr>
      <w:r>
        <w:rPr>
          <w:rFonts w:ascii="Arial" w:cs="Arial" w:eastAsia="Arial" w:hAnsi="Arial"/>
          <w:b/>
          <w:bCs/>
          <w:color w:val="404040"/>
          <w:sz w:val="22"/>
          <w:szCs w:val="22"/>
        </w:rPr>
        <w:t xml:space="preserve">Q3: The hazard curve for Messina is much steeper than for Milan. What does this mean physically?</w:t>
      </w:r>
    </w:p>
    <w:p>
      <w:pPr>
        <w:spacing w:after="80" w:before="60"/>
      </w:pPr>
      <w:r>
        <w:rPr>
          <w:rFonts w:ascii="Arial" w:cs="Arial" w:eastAsia="Arial" w:hAnsi="Arial"/>
          <w:sz w:val="20"/>
          <w:szCs w:val="20"/>
        </w:rPr>
        <w:t xml:space="preserve">A steep hazard curve means that small increases in return period bring large increases in ground motion. This typically occurs at sites dominated by a single nearby fault source — the hazard is strongly peaked at the characteristic magnitude and distance of that fault. At sites with many distributed sources (like Milan, which sits on the Po Plain far from large faults), the hazard curve is flatter because the ground motion increments between return periods are smaller and contributions come from many directions and distances.</w:t>
      </w:r>
    </w:p>
    <w:p>
      <w:pPr>
        <w:spacing w:after="40" w:before="40"/>
      </w:pPr>
      <w:r>
        <w:t xml:space="preserve"/>
      </w:r>
    </w:p>
    <w:p>
      <w:pPr>
        <w:pStyle w:val="Heading3"/>
        <w:spacing w:after="60" w:before="200"/>
      </w:pPr>
      <w:r>
        <w:rPr>
          <w:rFonts w:ascii="Arial" w:cs="Arial" w:eastAsia="Arial" w:hAnsi="Arial"/>
          <w:b/>
          <w:bCs/>
          <w:color w:val="404040"/>
          <w:sz w:val="22"/>
          <w:szCs w:val="22"/>
        </w:rPr>
        <w:t xml:space="preserve">Q4: How would you use the UHS to select a design ground motion for a 10-storey reinforced concrete building in Messina?</w:t>
      </w:r>
    </w:p>
    <w:p>
      <w:pPr>
        <w:spacing w:after="80" w:before="60"/>
      </w:pPr>
      <w:r>
        <w:rPr>
          <w:rFonts w:ascii="Arial" w:cs="Arial" w:eastAsia="Arial" w:hAnsi="Arial"/>
          <w:sz w:val="20"/>
          <w:szCs w:val="20"/>
        </w:rPr>
        <w:t xml:space="preserve">A 10-storey RC building has a natural period of roughly T ~ 0.1 × N = 1.0 s. Read the SA[1.0s] value from the UHS at the 475-yr return period. This is the spectral demand on a single-degree-of-freedom system with that period. Multiply by the Eurocode 8 importance factor γI and the soil amplification factor S for the site soil class to obtain the design spectral acceleration. The full design spectrum is then constructed by scaling and smoothing the UHS according to EC8 provisions.</w:t>
      </w:r>
    </w:p>
    <w:p>
      <w:pPr>
        <w:spacing w:after="40" w:before="40"/>
      </w:pPr>
      <w:r>
        <w:t xml:space="preserve"/>
      </w:r>
    </w:p>
    <w:p>
      <w:pPr>
        <w:pStyle w:val="Heading3"/>
        <w:spacing w:after="60" w:before="200"/>
      </w:pPr>
      <w:r>
        <w:rPr>
          <w:rFonts w:ascii="Arial" w:cs="Arial" w:eastAsia="Arial" w:hAnsi="Arial"/>
          <w:b/>
          <w:bCs/>
          <w:color w:val="404040"/>
          <w:sz w:val="22"/>
          <w:szCs w:val="22"/>
        </w:rPr>
        <w:t xml:space="preserve">Q5: ESHM20 shows higher hazard than ESHM13 at Messina. What changed?</w:t>
      </w:r>
    </w:p>
    <w:p>
      <w:pPr>
        <w:spacing w:after="80" w:before="60"/>
      </w:pPr>
      <w:r>
        <w:rPr>
          <w:rFonts w:ascii="Arial" w:cs="Arial" w:eastAsia="Arial" w:hAnsi="Arial"/>
          <w:sz w:val="20"/>
          <w:szCs w:val="20"/>
        </w:rPr>
        <w:t xml:space="preserve">ESHM20 updated several components: revised area source models with higher maximum magnitudes in the Calabrian Arc, new ground-motion models (GMMs) that predict higher SA at short periods for this region, and updated logic-tree weights. The ESHM20 fault model explicitly characterised the interface of the Calabrian subduction, which was not well represented in ESHM13. The combination of these changes increased PGA and short-period SA at high-hazard Italian sites.</w:t>
      </w:r>
    </w:p>
    <w:p>
      <w:pPr>
        <w:spacing w:after="40" w:before="4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5. Technical Notes for Instructors</w:t>
      </w:r>
    </w:p>
    <w:p>
      <w:pPr>
        <w:pStyle w:val="Heading2"/>
        <w:spacing w:after="80" w:before="280"/>
      </w:pPr>
      <w:r>
        <w:rPr>
          <w:rFonts w:ascii="Arial" w:cs="Arial" w:eastAsia="Arial" w:hAnsi="Arial"/>
          <w:b/>
          <w:bCs/>
          <w:color w:val="2E75B6"/>
          <w:sz w:val="24"/>
          <w:szCs w:val="24"/>
        </w:rPr>
        <w:t xml:space="preserve">5.1 Known API behaviours</w:t>
      </w:r>
    </w:p>
    <w:p>
      <w:pPr>
        <w:pStyle w:val="ListParagraph"/>
        <w:numPr>
          <w:ilvl w:val="0"/>
          <w:numId w:val="2"/>
        </w:numPr>
        <w:spacing w:after="40" w:before="40"/>
      </w:pPr>
      <w:r>
        <w:rPr>
          <w:rFonts w:ascii="Arial" w:cs="Arial" w:eastAsia="Arial" w:hAnsi="Arial"/>
          <w:sz w:val="20"/>
          <w:szCs w:val="20"/>
        </w:rPr>
        <w:t xml:space="preserve">The API returns data only for points within the model domain. Locations in North Africa or far offshore may return empty responses.</w:t>
      </w:r>
    </w:p>
    <w:p>
      <w:pPr>
        <w:pStyle w:val="ListParagraph"/>
        <w:numPr>
          <w:ilvl w:val="0"/>
          <w:numId w:val="2"/>
        </w:numPr>
        <w:spacing w:after="40" w:before="40"/>
      </w:pPr>
      <w:r>
        <w:rPr>
          <w:rFonts w:ascii="Arial" w:cs="Arial" w:eastAsia="Arial" w:hAnsi="Arial"/>
          <w:sz w:val="20"/>
          <w:szCs w:val="20"/>
        </w:rPr>
        <w:t xml:space="preserve">ESHM13 does not return PoEs from the spectra endpoint for some locations — Notebook 1 falls back to the map endpoint. If both fail, the YAML stores poes: [] and Notebook 2 substitutes Eurocode default return periods.</w:t>
      </w:r>
    </w:p>
    <w:p>
      <w:pPr>
        <w:pStyle w:val="ListParagraph"/>
        <w:numPr>
          <w:ilvl w:val="0"/>
          <w:numId w:val="2"/>
        </w:numPr>
        <w:spacing w:after="40" w:before="40"/>
      </w:pPr>
      <w:r>
        <w:rPr>
          <w:rFonts w:ascii="Arial" w:cs="Arial" w:eastAsia="Arial" w:hAnsi="Arial"/>
          <w:sz w:val="20"/>
          <w:szCs w:val="20"/>
        </w:rPr>
        <w:t xml:space="preserve">The XML namespace stripping in get_xml_root() is necessary because some API responses include the OGC/NRML namespace prefix and others do not.</w:t>
      </w:r>
    </w:p>
    <w:p>
      <w:pPr>
        <w:pStyle w:val="ListParagraph"/>
        <w:numPr>
          <w:ilvl w:val="0"/>
          <w:numId w:val="2"/>
        </w:numPr>
        <w:spacing w:after="40" w:before="40"/>
      </w:pPr>
      <w:r>
        <w:rPr>
          <w:rFonts w:ascii="Arial" w:cs="Arial" w:eastAsia="Arial" w:hAnsi="Arial"/>
          <w:sz w:val="20"/>
          <w:szCs w:val="20"/>
        </w:rPr>
        <w:t xml:space="preserve">UHS parsing uses three progressive strategies (NRML format, legacy period/value nodes, and point-attribute format) to handle inconsistencies between model implementations.</w:t>
      </w:r>
    </w:p>
    <w:p>
      <w:pPr>
        <w:spacing w:after="40" w:before="40"/>
      </w:pPr>
      <w:r>
        <w:t xml:space="preserve"/>
      </w:r>
    </w:p>
    <w:p>
      <w:pPr>
        <w:pStyle w:val="Heading2"/>
        <w:spacing w:after="80" w:before="280"/>
      </w:pPr>
      <w:r>
        <w:rPr>
          <w:rFonts w:ascii="Arial" w:cs="Arial" w:eastAsia="Arial" w:hAnsi="Arial"/>
          <w:b/>
          <w:bCs/>
          <w:color w:val="2E75B6"/>
          <w:sz w:val="24"/>
          <w:szCs w:val="24"/>
        </w:rPr>
        <w:t xml:space="preserve">5.2 Environment requirements</w:t>
      </w:r>
    </w:p>
    <w:p>
      <w:pPr>
        <w:spacing w:after="80" w:before="60"/>
      </w:pPr>
      <w:r>
        <w:rPr>
          <w:rFonts w:ascii="Arial" w:cs="Arial" w:eastAsia="Arial" w:hAnsi="Arial"/>
          <w:sz w:val="20"/>
          <w:szCs w:val="20"/>
        </w:rPr>
        <w:t xml:space="preserve">Each notebook begins with a pip install cell (Cell 1). Required packages: requests, pyyaml, matplotlib, numpy, ipywidgets. The notebooks have been tested with Python 3.9+ in standard JupyterLab and Jupyter Notebook environments. No special geographic libraries are required.</w:t>
      </w:r>
    </w:p>
    <w:p>
      <w:pPr>
        <w:spacing w:after="40" w:before="40"/>
      </w:pPr>
      <w:r>
        <w:t xml:space="preserve"/>
      </w:r>
    </w:p>
    <w:p>
      <w:pPr>
        <w:pStyle w:val="Heading2"/>
        <w:spacing w:after="80" w:before="280"/>
      </w:pPr>
      <w:r>
        <w:rPr>
          <w:rFonts w:ascii="Arial" w:cs="Arial" w:eastAsia="Arial" w:hAnsi="Arial"/>
          <w:b/>
          <w:bCs/>
          <w:color w:val="2E75B6"/>
          <w:sz w:val="24"/>
          <w:szCs w:val="24"/>
        </w:rPr>
        <w:t xml:space="preserve">5.3 Common student errors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Error</w:t>
            </w:r>
          </w:p>
        </w:tc>
        <w:tc>
          <w:tcPr>
            <w:tcW w:type="dxa" w:w="54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Solution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hazard_config.yaml not found</w:t>
            </w:r>
          </w:p>
        </w:tc>
        <w:tc>
          <w:tcPr>
            <w:tcW w:type="dxa" w:w="5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Run Notebook 1 first and ensure it completes without errors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Model not found in MODELS list</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Copy the model name exactly from the Cell 5 output in Notebook 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data to plot</w:t>
            </w:r>
          </w:p>
        </w:tc>
        <w:tc>
          <w:tcPr>
            <w:tcW w:type="dxa" w:w="5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Use Cell 11 (debug utility) to inspect the raw API response; check that the PoE value matches what is stored in the config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Timeout errors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server occasionally responds slowly; re-run the cell. Increase the timeout parameter in get_xml_root() from 30 to 60 seconds if necessary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PoE not matching (ESHM20)</w:t>
            </w:r>
          </w:p>
        </w:tc>
        <w:tc>
          <w:tcPr>
            <w:tcW w:type="dxa" w:w="5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ESHM20 PoEs are annual rates (years=1). Do not use 50-year format values like 0.1 — convert: λ = 0.002103 for 475-yr RP</w:t>
            </w:r>
          </w:p>
        </w:tc>
      </w:tr>
    </w:tbl>
    <w:p>
      <w:pPr>
        <w:spacing w:after="40" w:before="4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6. Further Reading</w:t>
      </w:r>
    </w:p>
    <w:p>
      <w:pPr>
        <w:pStyle w:val="ListParagraph"/>
        <w:numPr>
          <w:ilvl w:val="0"/>
          <w:numId w:val="2"/>
        </w:numPr>
        <w:spacing w:after="40" w:before="40"/>
      </w:pPr>
      <w:r>
        <w:rPr>
          <w:rFonts w:ascii="Arial" w:cs="Arial" w:eastAsia="Arial" w:hAnsi="Arial"/>
          <w:b/>
          <w:bCs/>
          <w:sz w:val="20"/>
          <w:szCs w:val="20"/>
        </w:rPr>
        <w:t xml:space="preserve">Woessner et al. (2015). </w:t>
      </w:r>
      <w:r>
        <w:rPr>
          <w:rFonts w:ascii="Arial" w:cs="Arial" w:eastAsia="Arial" w:hAnsi="Arial"/>
          <w:sz w:val="20"/>
          <w:szCs w:val="20"/>
        </w:rPr>
        <w:t xml:space="preserve">The 2013 European Seismic Hazard Model: key components and results. Bull. Earthq. Eng. 13, 3553–3596.</w:t>
      </w:r>
    </w:p>
    <w:p>
      <w:pPr>
        <w:pStyle w:val="ListParagraph"/>
        <w:numPr>
          <w:ilvl w:val="0"/>
          <w:numId w:val="2"/>
        </w:numPr>
        <w:spacing w:after="40" w:before="40"/>
      </w:pPr>
      <w:r>
        <w:rPr>
          <w:rFonts w:ascii="Arial" w:cs="Arial" w:eastAsia="Arial" w:hAnsi="Arial"/>
          <w:b/>
          <w:bCs/>
          <w:sz w:val="20"/>
          <w:szCs w:val="20"/>
        </w:rPr>
        <w:t xml:space="preserve">Danciu et al. (2021). </w:t>
      </w:r>
      <w:r>
        <w:rPr>
          <w:rFonts w:ascii="Arial" w:cs="Arial" w:eastAsia="Arial" w:hAnsi="Arial"/>
          <w:sz w:val="20"/>
          <w:szCs w:val="20"/>
        </w:rPr>
        <w:t xml:space="preserve">The 2020 update of the European Seismic Hazard Model (ESHM20). EFEHR Technical Report 001.</w:t>
      </w:r>
    </w:p>
    <w:p>
      <w:pPr>
        <w:pStyle w:val="ListParagraph"/>
        <w:numPr>
          <w:ilvl w:val="0"/>
          <w:numId w:val="2"/>
        </w:numPr>
        <w:spacing w:after="40" w:before="40"/>
      </w:pPr>
      <w:r>
        <w:rPr>
          <w:rFonts w:ascii="Arial" w:cs="Arial" w:eastAsia="Arial" w:hAnsi="Arial"/>
          <w:b/>
          <w:bCs/>
          <w:sz w:val="20"/>
          <w:szCs w:val="20"/>
        </w:rPr>
        <w:t xml:space="preserve">Bommer &amp; Scherbaum (2008). </w:t>
      </w:r>
      <w:r>
        <w:rPr>
          <w:rFonts w:ascii="Arial" w:cs="Arial" w:eastAsia="Arial" w:hAnsi="Arial"/>
          <w:sz w:val="20"/>
          <w:szCs w:val="20"/>
        </w:rPr>
        <w:t xml:space="preserve">The use and misuse of logic trees in probabilistic seismic hazard analysis. Earthquake Spectra 24, 997–1009.</w:t>
      </w:r>
    </w:p>
    <w:p>
      <w:pPr>
        <w:pStyle w:val="ListParagraph"/>
        <w:numPr>
          <w:ilvl w:val="0"/>
          <w:numId w:val="2"/>
        </w:numPr>
        <w:spacing w:after="40" w:before="40"/>
      </w:pPr>
      <w:r>
        <w:rPr>
          <w:rFonts w:ascii="Arial" w:cs="Arial" w:eastAsia="Arial" w:hAnsi="Arial"/>
          <w:b/>
          <w:bCs/>
          <w:sz w:val="20"/>
          <w:szCs w:val="20"/>
        </w:rPr>
        <w:t xml:space="preserve">CEN (2004). </w:t>
      </w:r>
      <w:r>
        <w:rPr>
          <w:rFonts w:ascii="Arial" w:cs="Arial" w:eastAsia="Arial" w:hAnsi="Arial"/>
          <w:sz w:val="20"/>
          <w:szCs w:val="20"/>
        </w:rPr>
        <w:t xml:space="preserve">Eurocode 8: Design of structures for earthquake resistance (EN 1998-1).</w:t>
      </w:r>
    </w:p>
    <w:p>
      <w:pPr>
        <w:pStyle w:val="ListParagraph"/>
        <w:numPr>
          <w:ilvl w:val="0"/>
          <w:numId w:val="2"/>
        </w:numPr>
        <w:spacing w:after="40" w:before="40"/>
      </w:pPr>
      <w:r>
        <w:rPr>
          <w:rFonts w:ascii="Arial" w:cs="Arial" w:eastAsia="Arial" w:hAnsi="Arial"/>
          <w:b/>
          <w:bCs/>
          <w:sz w:val="20"/>
          <w:szCs w:val="20"/>
        </w:rPr>
        <w:t xml:space="preserve">EFEHR web portal: </w:t>
      </w:r>
      <w:r>
        <w:rPr>
          <w:rFonts w:ascii="Arial" w:cs="Arial" w:eastAsia="Arial" w:hAnsi="Arial"/>
          <w:sz w:val="20"/>
          <w:szCs w:val="20"/>
        </w:rPr>
        <w:t xml:space="preserve">http://www.efehr.org</w:t>
      </w:r>
    </w:p>
    <w:p>
      <w:pPr>
        <w:pStyle w:val="ListParagraph"/>
        <w:numPr>
          <w:ilvl w:val="0"/>
          <w:numId w:val="2"/>
        </w:numPr>
        <w:spacing w:after="40" w:before="40"/>
      </w:pPr>
      <w:r>
        <w:rPr>
          <w:rFonts w:ascii="Arial" w:cs="Arial" w:eastAsia="Arial" w:hAnsi="Arial"/>
          <w:b/>
          <w:bCs/>
          <w:sz w:val="20"/>
          <w:szCs w:val="20"/>
        </w:rPr>
        <w:t xml:space="preserve">SHARE API documentation: </w:t>
      </w:r>
      <w:r>
        <w:rPr>
          <w:rFonts w:ascii="Arial" w:cs="Arial" w:eastAsia="Arial" w:hAnsi="Arial"/>
          <w:sz w:val="20"/>
          <w:szCs w:val="20"/>
        </w:rPr>
        <w:t xml:space="preserve">http://appsrvr.share-eu.org:8080/share</w:t>
      </w:r>
    </w:p>
    <w:p>
      <w:pPr>
        <w:spacing w:after="40" w:before="40"/>
      </w:pPr>
      <w:r>
        <w:t xml:space="preserve"/>
      </w:r>
    </w:p>
    <w:p>
      <w:pPr>
        <w:pBdr>
          <w:top w:val="single" w:color="CCCCCC" w:sz="4" w:space="6"/>
        </w:pBdr>
        <w:spacing w:after="0" w:before="600"/>
        <w:jc w:val="center"/>
      </w:pPr>
      <w:r>
        <w:rPr>
          <w:rFonts w:ascii="Arial" w:cs="Arial" w:eastAsia="Arial" w:hAnsi="Arial"/>
          <w:i/>
          <w:iCs/>
          <w:color w:val="888888"/>
          <w:sz w:val="16"/>
          <w:szCs w:val="16"/>
        </w:rPr>
        <w:t xml:space="preserve">GeoINquire Project · Messina Workshop · April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888888"/>
        <w:sz w:val="16"/>
        <w:szCs w:val="16"/>
      </w:rPr>
      <w:t xml:space="preserve">GeoINquire Workshop · Messina, April 2026</w:t>
    </w:r>
    <w:r>
      <w:rPr>
        <w:rFonts w:ascii="Arial" w:cs="Arial" w:eastAsia="Arial" w:hAnsi="Arial"/>
        <w:color w:val="888888"/>
        <w:sz w:val="16"/>
        <w:szCs w:val="16"/>
      </w:rPr>
      <w:t xml:space="preserve">   |   EFEHR/SHARE Seismic Hazard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8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2026-04-13T14:40:34.109Z</dcterms:created>
  <dcterms:modified xsi:type="dcterms:W3CDTF">2026-04-13T14:40:34.109Z</dcterms:modified>
</cp:coreProperties>
</file>

<file path=docProps/custom.xml><?xml version="1.0" encoding="utf-8"?>
<Properties xmlns="http://schemas.openxmlformats.org/officeDocument/2006/custom-properties" xmlns:vt="http://schemas.openxmlformats.org/officeDocument/2006/docPropsVTypes"/>
</file>