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pPr>
      <w:r>
        <w:rPr>
          <w:rFonts w:ascii="Arial" w:hAnsi="Arial"/>
          <w:b/>
          <w:color w:val="1F4E79"/>
          <w:sz w:val="68"/>
        </w:rPr>
        <w:t>GradeFlow</w:t>
      </w:r>
    </w:p>
    <w:p>
      <w:pPr>
        <w:spacing w:after="100"/>
        <w:jc w:val="center"/>
      </w:pPr>
      <w:r>
        <w:rPr>
          <w:rFonts w:ascii="Arial" w:hAnsi="Arial"/>
          <w:color w:val="2F5496"/>
          <w:sz w:val="36"/>
        </w:rPr>
        <w:t>AI-Assisted Autograder &amp; BI Dashboard System</w:t>
      </w:r>
    </w:p>
    <w:p>
      <w:pPr>
        <w:spacing w:before="0" w:after="100"/>
        <w:pBdr>
          <w:bottom w:val="single" w:sz="8" w:space="1" w:color="D9E2F3"/>
        </w:pBdr>
      </w:pPr>
    </w:p>
    <w:p>
      <w:pPr>
        <w:spacing w:after="100"/>
        <w:jc w:val="center"/>
      </w:pPr>
      <w:r>
        <w:rPr>
          <w:rFonts w:ascii="Arial" w:hAnsi="Arial"/>
          <w:b/>
          <w:sz w:val="26"/>
        </w:rPr>
        <w:t>Project Overview Document</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r/>
            <w:r>
              <w:rPr>
                <w:rFonts w:ascii="Arial" w:hAnsi="Arial"/>
                <w:b/>
                <w:color w:val="FFFFFF"/>
                <w:sz w:val="18"/>
              </w:rPr>
              <w:t>Field</w:t>
            </w:r>
          </w:p>
        </w:tc>
        <w:tc>
          <w:tcPr>
            <w:tcW w:type="dxa" w:w="8064"/>
            <w:shd w:fill="1F4E79"/>
            <w:vAlign w:val="center"/>
          </w:tcPr>
          <w:p>
            <w:r/>
            <w:r>
              <w:rPr>
                <w:rFonts w:ascii="Arial" w:hAnsi="Arial"/>
                <w:b/>
                <w:color w:val="FFFFFF"/>
                <w:sz w:val="18"/>
              </w:rPr>
              <w:t>Summary</w:t>
            </w:r>
          </w:p>
        </w:tc>
      </w:tr>
      <w:tr>
        <w:tc>
          <w:tcPr>
            <w:tcW w:type="dxa" w:w="2592"/>
            <w:vAlign w:val="top"/>
          </w:tcPr>
          <w:p>
            <w:r/>
            <w:r>
              <w:rPr>
                <w:rFonts w:ascii="Arial" w:hAnsi="Arial"/>
                <w:b w:val="0"/>
                <w:sz w:val="18"/>
              </w:rPr>
              <w:t>Prepared for</w:t>
            </w:r>
          </w:p>
        </w:tc>
        <w:tc>
          <w:tcPr>
            <w:tcW w:type="dxa" w:w="8064"/>
            <w:vAlign w:val="top"/>
          </w:tcPr>
          <w:p>
            <w:r/>
            <w:r>
              <w:rPr>
                <w:rFonts w:ascii="Arial" w:hAnsi="Arial"/>
                <w:b w:val="0"/>
                <w:sz w:val="18"/>
              </w:rPr>
              <w:t>Sehrish Khan</w:t>
            </w:r>
          </w:p>
        </w:tc>
      </w:tr>
      <w:tr>
        <w:tc>
          <w:tcPr>
            <w:tcW w:type="dxa" w:w="2592"/>
            <w:vAlign w:val="top"/>
          </w:tcPr>
          <w:p>
            <w:r/>
            <w:r>
              <w:rPr>
                <w:rFonts w:ascii="Arial" w:hAnsi="Arial"/>
                <w:b w:val="0"/>
                <w:sz w:val="18"/>
              </w:rPr>
              <w:t>Project type</w:t>
            </w:r>
          </w:p>
        </w:tc>
        <w:tc>
          <w:tcPr>
            <w:tcW w:type="dxa" w:w="8064"/>
            <w:vAlign w:val="top"/>
          </w:tcPr>
          <w:p>
            <w:r/>
            <w:r>
              <w:rPr>
                <w:rFonts w:ascii="Arial" w:hAnsi="Arial"/>
                <w:b w:val="0"/>
                <w:sz w:val="18"/>
              </w:rPr>
              <w:t>AI automation + SQL validation + BI dashboard portfolio project</w:t>
            </w:r>
          </w:p>
        </w:tc>
      </w:tr>
      <w:tr>
        <w:tc>
          <w:tcPr>
            <w:tcW w:type="dxa" w:w="2592"/>
            <w:vAlign w:val="top"/>
          </w:tcPr>
          <w:p>
            <w:r/>
            <w:r>
              <w:rPr>
                <w:rFonts w:ascii="Arial" w:hAnsi="Arial"/>
                <w:b w:val="0"/>
                <w:sz w:val="18"/>
              </w:rPr>
              <w:t>Current phase</w:t>
            </w:r>
          </w:p>
        </w:tc>
        <w:tc>
          <w:tcPr>
            <w:tcW w:type="dxa" w:w="8064"/>
            <w:vAlign w:val="top"/>
          </w:tcPr>
          <w:p>
            <w:r/>
            <w:r>
              <w:rPr>
                <w:rFonts w:ascii="Arial" w:hAnsi="Arial"/>
                <w:b w:val="0"/>
                <w:sz w:val="18"/>
              </w:rPr>
              <w:t>Phase 1 production pipeline with testing branch moving toward AI-agent primary grading</w:t>
            </w:r>
          </w:p>
        </w:tc>
      </w:tr>
      <w:tr>
        <w:tc>
          <w:tcPr>
            <w:tcW w:type="dxa" w:w="2592"/>
            <w:vAlign w:val="top"/>
          </w:tcPr>
          <w:p>
            <w:r/>
            <w:r>
              <w:rPr>
                <w:rFonts w:ascii="Arial" w:hAnsi="Arial"/>
                <w:b w:val="0"/>
                <w:sz w:val="18"/>
              </w:rPr>
              <w:t>Primary business goal</w:t>
            </w:r>
          </w:p>
        </w:tc>
        <w:tc>
          <w:tcPr>
            <w:tcW w:type="dxa" w:w="8064"/>
            <w:vAlign w:val="top"/>
          </w:tcPr>
          <w:p>
            <w:r/>
            <w:r>
              <w:rPr>
                <w:rFonts w:ascii="Arial" w:hAnsi="Arial"/>
                <w:b w:val="0"/>
                <w:sz w:val="18"/>
              </w:rPr>
              <w:t>Reduce manual grading effort while improving consistency, turnaround time, escalation visibility, and dashboard-ready metrics</w:t>
            </w:r>
          </w:p>
        </w:tc>
      </w:tr>
      <w:tr>
        <w:tc>
          <w:tcPr>
            <w:tcW w:type="dxa" w:w="2592"/>
            <w:vAlign w:val="top"/>
          </w:tcPr>
          <w:p>
            <w:r/>
            <w:r>
              <w:rPr>
                <w:rFonts w:ascii="Arial" w:hAnsi="Arial"/>
                <w:b w:val="0"/>
                <w:sz w:val="18"/>
              </w:rPr>
              <w:t>Reviewed sources</w:t>
            </w:r>
          </w:p>
        </w:tc>
        <w:tc>
          <w:tcPr>
            <w:tcW w:type="dxa" w:w="8064"/>
            <w:vAlign w:val="top"/>
          </w:tcPr>
          <w:p>
            <w:r/>
            <w:r>
              <w:rPr>
                <w:rFonts w:ascii="Arial" w:hAnsi="Arial"/>
                <w:b w:val="0"/>
                <w:sz w:val="18"/>
              </w:rPr>
              <w:t>Uploaded production ZIP, testing ZIP, and existing project positioning</w:t>
            </w:r>
          </w:p>
        </w:tc>
      </w:tr>
    </w:tbl>
    <w:p>
      <w:pPr>
        <w:spacing w:after="100"/>
      </w:pPr>
    </w:p>
    <w:p>
      <w:pPr>
        <w:spacing w:after="100"/>
      </w:pPr>
      <w:r>
        <w:br w:type="page"/>
      </w:r>
    </w:p>
    <w:p>
      <w:pPr>
        <w:pStyle w:val="Heading1"/>
        <w:spacing w:after="80" w:before="160"/>
      </w:pPr>
      <w:r>
        <w:t>Executive Summary</w:t>
      </w:r>
    </w:p>
    <w:p>
      <w:pPr>
        <w:spacing w:after="100"/>
      </w:pPr>
      <w:r>
        <w:rPr>
          <w:rFonts w:ascii="Arial" w:hAnsi="Arial"/>
        </w:rPr>
        <w:t>GradeFlow is an AI-assisted grading and analytics system designed to automate repeatable grading tasks, standardize student feedback, and route low-confidence or failing submissions to instructors for manual review. The current system combines Python validation, SQL Server persistence, OpenAI-assisted grading, and Mandrill-style email notifications.</w:t>
      </w:r>
    </w:p>
    <w:p>
      <w:pPr>
        <w:spacing w:after="100"/>
      </w:pPr>
      <w:r>
        <w:rPr>
          <w:rFonts w:ascii="Arial" w:hAnsi="Arial"/>
        </w:rPr>
        <w:t>The production version is a Python-first batch pipeline: Python validation is the grading authority, while AI is available as an advisory or comparison layer. The testing version is more advanced: it introduces an OpenAI tool-use agent as the primary grader, with the Python hybrid grader running in shadow mode for validation and benchmarking.</w:t>
      </w:r>
    </w:p>
    <w:tbl>
      <w:tblPr>
        <w:tblW w:type="auto" w:w="0"/>
        <w:jc w:val="center"/>
        <w:tblLook w:firstColumn="1" w:firstRow="1" w:lastColumn="0" w:lastRow="0" w:noHBand="0" w:noVBand="1" w:val="04A0"/>
      </w:tblPr>
      <w:tblGrid>
        <w:gridCol w:w="10224"/>
      </w:tblGrid>
      <w:tr>
        <w:tc>
          <w:tcPr>
            <w:tcW w:type="dxa" w:w="10224"/>
            <w:shd w:fill="FFF7E6"/>
            <w:tcBorders>
              <w:top w:sz="10" w:val="single" w:color="C55A11"/>
              <w:left w:sz="10" w:val="single" w:color="C55A11"/>
              <w:bottom w:sz="10" w:val="single" w:color="C55A11"/>
              <w:right w:sz="10" w:val="single" w:color="C55A11"/>
            </w:tcBorders>
          </w:tcPr>
          <w:p>
            <w:pPr>
              <w:spacing w:after="40"/>
            </w:pPr>
            <w:r/>
            <w:r>
              <w:rPr>
                <w:rFonts w:ascii="Arial" w:hAnsi="Arial"/>
                <w:b/>
                <w:color w:val="C55A11"/>
                <w:sz w:val="20"/>
              </w:rPr>
              <w:t>Portfolio-safe positioning</w:t>
            </w:r>
          </w:p>
          <w:p>
            <w:pPr>
              <w:spacing w:after="0"/>
            </w:pPr>
            <w:r>
              <w:rPr>
                <w:rFonts w:ascii="Arial" w:hAnsi="Arial"/>
                <w:color w:val="1F2937"/>
                <w:sz w:val="18"/>
              </w:rPr>
              <w:t>This project should be described as a Phase 1 AI-assisted autograding and BI-readiness system. It is strong for demonstrating automation, SQL/Python validation, workflow design, and Power BI metrics. It should not yet be described as a fully enterprise-scaled production platform until confidence logging, benchmark performance, queue orchestration, and audit/event tables are completed.</w:t>
            </w:r>
          </w:p>
        </w:tc>
      </w:tr>
    </w:tbl>
    <w:p>
      <w:pPr>
        <w:spacing w:after="100"/>
      </w:pPr>
    </w:p>
    <w:p>
      <w:pPr>
        <w:pStyle w:val="Heading2"/>
        <w:spacing w:after="80" w:before="160"/>
      </w:pPr>
      <w:r>
        <w:t>What the system currently does well</w:t>
      </w:r>
    </w:p>
    <w:p>
      <w:pPr>
        <w:pStyle w:val="ListBullet"/>
        <w:spacing w:after="100"/>
      </w:pPr>
      <w:r>
        <w:rPr>
          <w:rFonts w:ascii="Arial" w:hAnsi="Arial"/>
        </w:rPr>
        <w:t>Automates straightforward grading decisions for SQL, DOCX, and paragraph-style assignments.</w:t>
      </w:r>
    </w:p>
    <w:p>
      <w:pPr>
        <w:pStyle w:val="ListBullet"/>
        <w:spacing w:after="100"/>
      </w:pPr>
      <w:r>
        <w:rPr>
          <w:rFonts w:ascii="Arial" w:hAnsi="Arial"/>
        </w:rPr>
        <w:t>Uses deterministic Python validation to make repeatable grading decisions.</w:t>
      </w:r>
    </w:p>
    <w:p>
      <w:pPr>
        <w:pStyle w:val="ListBullet"/>
        <w:spacing w:after="100"/>
      </w:pPr>
      <w:r>
        <w:rPr>
          <w:rFonts w:ascii="Arial" w:hAnsi="Arial"/>
        </w:rPr>
        <w:t>Routes missing answer keys and low-grade submissions into a manual review path.</w:t>
      </w:r>
    </w:p>
    <w:p>
      <w:pPr>
        <w:pStyle w:val="ListBullet"/>
        <w:spacing w:after="100"/>
      </w:pPr>
      <w:r>
        <w:rPr>
          <w:rFonts w:ascii="Arial" w:hAnsi="Arial"/>
        </w:rPr>
        <w:t>Prevents duplicate reject records and reduces duplicate escalation behavior.</w:t>
      </w:r>
    </w:p>
    <w:p>
      <w:pPr>
        <w:pStyle w:val="ListBullet"/>
        <w:spacing w:after="100"/>
      </w:pPr>
      <w:r>
        <w:rPr>
          <w:rFonts w:ascii="Arial" w:hAnsi="Arial"/>
        </w:rPr>
        <w:t>Stores grading results in SQL Server fields that can support Power BI reporting.</w:t>
      </w:r>
    </w:p>
    <w:p>
      <w:pPr>
        <w:pStyle w:val="ListBullet"/>
        <w:spacing w:after="100"/>
      </w:pPr>
      <w:r>
        <w:rPr>
          <w:rFonts w:ascii="Arial" w:hAnsi="Arial"/>
        </w:rPr>
        <w:t>Introduces an AI-agent testing branch for semantic grading, confidence scoring, and shadow comparison.</w:t>
      </w:r>
    </w:p>
    <w:p>
      <w:pPr>
        <w:pStyle w:val="Heading2"/>
        <w:spacing w:after="80" w:before="160"/>
      </w:pPr>
      <w:r>
        <w:t>Main enterprise gap</w:t>
      </w:r>
    </w:p>
    <w:p>
      <w:pPr>
        <w:spacing w:after="100"/>
      </w:pPr>
      <w:r>
        <w:rPr>
          <w:rFonts w:ascii="Arial" w:hAnsi="Arial"/>
        </w:rPr>
        <w:t>The architecture is still script-driven rather than queue/event-driven. The system has strong logic, but it needs stronger operational controls: explicit processing statuses, durable audit events, confidence persistence, benchmark expansion, retry/error handling, and a star-schema model for dashboard consumption.</w:t>
      </w:r>
    </w:p>
    <w:p>
      <w:pPr>
        <w:spacing w:after="100"/>
      </w:pPr>
      <w:r>
        <w:br w:type="page"/>
      </w:r>
    </w:p>
    <w:p>
      <w:pPr>
        <w:pStyle w:val="Heading1"/>
        <w:spacing w:after="80" w:before="160"/>
      </w:pPr>
      <w:r>
        <w:t>1. Current System Architecture</w:t>
      </w:r>
    </w:p>
    <w:p>
      <w:pPr>
        <w:pStyle w:val="Heading2"/>
        <w:spacing w:after="80" w:before="160"/>
      </w:pPr>
      <w:r>
        <w:t>Production architecture</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run_batch.py</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db_tools.py</w:t>
            </w:r>
          </w:p>
          <w:p>
            <w:pPr>
              <w:spacing w:after="0"/>
            </w:pPr>
            <w:r>
              <w:rPr>
                <w:rFonts w:ascii="Courier New" w:hAnsi="Courier New"/>
                <w:color w:val="1F2937"/>
                <w:sz w:val="16"/>
              </w:rPr>
              <w:t xml:space="preserve">   |      Reads ungraded submissions from SQL Server view: vw_Homework</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autograde_tools.py</w:t>
            </w:r>
          </w:p>
          <w:p>
            <w:pPr>
              <w:spacing w:after="0"/>
            </w:pPr>
            <w:r>
              <w:rPr>
                <w:rFonts w:ascii="Courier New" w:hAnsi="Courier New"/>
                <w:color w:val="1F2937"/>
                <w:sz w:val="16"/>
              </w:rPr>
              <w:t xml:space="preserve">   |      Python-first hybrid grading logic</w:t>
            </w:r>
          </w:p>
          <w:p>
            <w:pPr>
              <w:spacing w:after="0"/>
            </w:pPr>
            <w:r>
              <w:rPr>
                <w:rFonts w:ascii="Courier New" w:hAnsi="Courier New"/>
                <w:color w:val="1F2937"/>
                <w:sz w:val="16"/>
              </w:rPr>
              <w:t xml:space="preserve">   |      Optional AI advisory grade</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email_tools.py</w:t>
            </w:r>
          </w:p>
          <w:p>
            <w:pPr>
              <w:spacing w:after="0"/>
            </w:pPr>
            <w:r>
              <w:rPr>
                <w:rFonts w:ascii="Courier New" w:hAnsi="Courier New"/>
                <w:color w:val="1F2937"/>
                <w:sz w:val="16"/>
              </w:rPr>
              <w:t xml:space="preserve">   |      Sends student feedback email or instructor escalation email</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SQL Server</w:t>
            </w:r>
          </w:p>
          <w:p>
            <w:pPr>
              <w:spacing w:after="0"/>
            </w:pPr>
            <w:r>
              <w:rPr>
                <w:rFonts w:ascii="Courier New" w:hAnsi="Courier New"/>
                <w:color w:val="1F2937"/>
                <w:sz w:val="16"/>
              </w:rPr>
              <w:t xml:space="preserve">          Writes passing rows to graded homework table</w:t>
            </w:r>
          </w:p>
          <w:p>
            <w:pPr>
              <w:spacing w:after="0"/>
            </w:pPr>
            <w:r>
              <w:rPr>
                <w:rFonts w:ascii="Courier New" w:hAnsi="Courier New"/>
                <w:color w:val="1F2937"/>
                <w:sz w:val="16"/>
              </w:rPr>
              <w:t xml:space="preserve">          Writes low-confidence/failing rows to autograder reject table</w:t>
            </w:r>
          </w:p>
        </w:tc>
      </w:tr>
    </w:tbl>
    <w:p>
      <w:pPr>
        <w:spacing w:after="100"/>
      </w:pPr>
    </w:p>
    <w:p>
      <w:pPr>
        <w:spacing w:after="100"/>
      </w:pPr>
      <w:r>
        <w:rPr>
          <w:rFonts w:ascii="Arial" w:hAnsi="Arial"/>
        </w:rPr>
        <w:t>Production is a single-process batch workflow. It fetches up to a configured batch size of ungraded records, grades each submission, cleans HTML feedback for database storage, writes the result, and triggers the appropriate email action.</w:t>
      </w:r>
    </w:p>
    <w:p>
      <w:pPr>
        <w:pStyle w:val="Heading2"/>
        <w:spacing w:after="80" w:before="160"/>
      </w:pPr>
      <w:r>
        <w:t>Testing architecture</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run_batch.py</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autograde_agent.py</w:t>
            </w:r>
          </w:p>
          <w:p>
            <w:pPr>
              <w:spacing w:after="0"/>
            </w:pPr>
            <w:r>
              <w:rPr>
                <w:rFonts w:ascii="Courier New" w:hAnsi="Courier New"/>
                <w:color w:val="1F2937"/>
                <w:sz w:val="16"/>
              </w:rPr>
              <w:t xml:space="preserve">   |      OpenAI tool-use agent is the primary grader</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autograde_tools.py</w:t>
            </w:r>
          </w:p>
          <w:p>
            <w:pPr>
              <w:spacing w:after="0"/>
            </w:pPr>
            <w:r>
              <w:rPr>
                <w:rFonts w:ascii="Courier New" w:hAnsi="Courier New"/>
                <w:color w:val="1F2937"/>
                <w:sz w:val="16"/>
              </w:rPr>
              <w:t xml:space="preserve">   |      Python hybrid grader runs in shadow mode for comparison</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file_tools.py</w:t>
            </w:r>
          </w:p>
          <w:p>
            <w:pPr>
              <w:spacing w:after="0"/>
            </w:pPr>
            <w:r>
              <w:rPr>
                <w:rFonts w:ascii="Courier New" w:hAnsi="Courier New"/>
                <w:color w:val="1F2937"/>
                <w:sz w:val="16"/>
              </w:rPr>
              <w:t xml:space="preserve">   |      Centralized file download, ZIP inspection, SQL extraction, DOCX parsing</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db_tools.py</w:t>
            </w:r>
          </w:p>
          <w:p>
            <w:pPr>
              <w:spacing w:after="0"/>
            </w:pPr>
            <w:r>
              <w:rPr>
                <w:rFonts w:ascii="Courier New" w:hAnsi="Courier New"/>
                <w:color w:val="1F2937"/>
                <w:sz w:val="16"/>
              </w:rPr>
              <w:t xml:space="preserve">   |      Writes to test tables and reject-test tables</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benchmark scripts</w:t>
            </w:r>
          </w:p>
          <w:p>
            <w:pPr>
              <w:spacing w:after="0"/>
            </w:pPr>
            <w:r>
              <w:rPr>
                <w:rFonts w:ascii="Courier New" w:hAnsi="Courier New"/>
                <w:color w:val="1F2937"/>
                <w:sz w:val="16"/>
              </w:rPr>
              <w:t xml:space="preserve">          Compare manual truth, AI grading, and Python grading</w:t>
            </w:r>
          </w:p>
        </w:tc>
      </w:tr>
    </w:tbl>
    <w:p>
      <w:pPr>
        <w:spacing w:after="100"/>
      </w:pPr>
    </w:p>
    <w:p>
      <w:pPr>
        <w:spacing w:after="100"/>
      </w:pPr>
      <w:r>
        <w:rPr>
          <w:rFonts w:ascii="Arial" w:hAnsi="Arial"/>
        </w:rPr>
        <w:t>The testing branch is architecturally better separated because it moves file I/O into a dedicated utility layer, adds an AI-agent primary grader, and introduces benchmark scripts for measuring accuracy and agreement.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center"/>
          </w:tcPr>
          <w:p>
            <w:r/>
            <w:r>
              <w:rPr>
                <w:rFonts w:ascii="Arial" w:hAnsi="Arial"/>
                <w:b/>
                <w:color w:val="FFFFFF"/>
                <w:sz w:val="16"/>
              </w:rPr>
              <w:t>Layer</w:t>
            </w:r>
          </w:p>
        </w:tc>
        <w:tc>
          <w:tcPr>
            <w:tcW w:type="dxa" w:w="2304"/>
            <w:shd w:fill="1F4E79"/>
            <w:vAlign w:val="center"/>
          </w:tcPr>
          <w:p>
            <w:r/>
            <w:r>
              <w:rPr>
                <w:rFonts w:ascii="Arial" w:hAnsi="Arial"/>
                <w:b/>
                <w:color w:val="FFFFFF"/>
                <w:sz w:val="16"/>
              </w:rPr>
              <w:t>Production role</w:t>
            </w:r>
          </w:p>
        </w:tc>
        <w:tc>
          <w:tcPr>
            <w:tcW w:type="dxa" w:w="2592"/>
            <w:shd w:fill="1F4E79"/>
            <w:vAlign w:val="center"/>
          </w:tcPr>
          <w:p>
            <w:r/>
            <w:r>
              <w:rPr>
                <w:rFonts w:ascii="Arial" w:hAnsi="Arial"/>
                <w:b/>
                <w:color w:val="FFFFFF"/>
                <w:sz w:val="16"/>
              </w:rPr>
              <w:t>Testing role</w:t>
            </w:r>
          </w:p>
        </w:tc>
        <w:tc>
          <w:tcPr>
            <w:tcW w:type="dxa" w:w="3168"/>
            <w:shd w:fill="1F4E79"/>
            <w:vAlign w:val="center"/>
          </w:tcPr>
          <w:p>
            <w:r/>
            <w:r>
              <w:rPr>
                <w:rFonts w:ascii="Arial" w:hAnsi="Arial"/>
                <w:b/>
                <w:color w:val="FFFFFF"/>
                <w:sz w:val="16"/>
              </w:rPr>
              <w:t>Business value</w:t>
            </w:r>
          </w:p>
        </w:tc>
      </w:tr>
      <w:tr>
        <w:tc>
          <w:tcPr>
            <w:tcW w:type="dxa" w:w="1728"/>
            <w:vAlign w:val="top"/>
          </w:tcPr>
          <w:p>
            <w:r/>
            <w:r>
              <w:rPr>
                <w:rFonts w:ascii="Arial" w:hAnsi="Arial"/>
                <w:b w:val="0"/>
                <w:sz w:val="16"/>
              </w:rPr>
              <w:t>Batch runner</w:t>
            </w:r>
          </w:p>
        </w:tc>
        <w:tc>
          <w:tcPr>
            <w:tcW w:type="dxa" w:w="2304"/>
            <w:vAlign w:val="top"/>
          </w:tcPr>
          <w:p>
            <w:r/>
            <w:r>
              <w:rPr>
                <w:rFonts w:ascii="Arial" w:hAnsi="Arial"/>
                <w:b w:val="0"/>
                <w:sz w:val="16"/>
              </w:rPr>
              <w:t>Main orchestration through run_batch.py</w:t>
            </w:r>
          </w:p>
        </w:tc>
        <w:tc>
          <w:tcPr>
            <w:tcW w:type="dxa" w:w="2592"/>
            <w:vAlign w:val="top"/>
          </w:tcPr>
          <w:p>
            <w:r/>
            <w:r>
              <w:rPr>
                <w:rFonts w:ascii="Arial" w:hAnsi="Arial"/>
                <w:b w:val="0"/>
                <w:sz w:val="16"/>
              </w:rPr>
              <w:t>Main orchestration with AI-agent primary and Python shadow</w:t>
            </w:r>
          </w:p>
        </w:tc>
        <w:tc>
          <w:tcPr>
            <w:tcW w:type="dxa" w:w="3168"/>
            <w:vAlign w:val="top"/>
          </w:tcPr>
          <w:p>
            <w:r/>
            <w:r>
              <w:rPr>
                <w:rFonts w:ascii="Arial" w:hAnsi="Arial"/>
                <w:b w:val="0"/>
                <w:sz w:val="16"/>
              </w:rPr>
              <w:t>Automates repetitive grading operations</w:t>
            </w:r>
          </w:p>
        </w:tc>
      </w:tr>
      <w:tr>
        <w:tc>
          <w:tcPr>
            <w:tcW w:type="dxa" w:w="1728"/>
            <w:vAlign w:val="top"/>
          </w:tcPr>
          <w:p>
            <w:r/>
            <w:r>
              <w:rPr>
                <w:rFonts w:ascii="Arial" w:hAnsi="Arial"/>
                <w:b w:val="0"/>
                <w:sz w:val="16"/>
              </w:rPr>
              <w:t>Python validation</w:t>
            </w:r>
          </w:p>
        </w:tc>
        <w:tc>
          <w:tcPr>
            <w:tcW w:type="dxa" w:w="2304"/>
            <w:vAlign w:val="top"/>
          </w:tcPr>
          <w:p>
            <w:r/>
            <w:r>
              <w:rPr>
                <w:rFonts w:ascii="Arial" w:hAnsi="Arial"/>
                <w:b w:val="0"/>
                <w:sz w:val="16"/>
              </w:rPr>
              <w:t>Primary grading authority</w:t>
            </w:r>
          </w:p>
        </w:tc>
        <w:tc>
          <w:tcPr>
            <w:tcW w:type="dxa" w:w="2592"/>
            <w:vAlign w:val="top"/>
          </w:tcPr>
          <w:p>
            <w:r/>
            <w:r>
              <w:rPr>
                <w:rFonts w:ascii="Arial" w:hAnsi="Arial"/>
                <w:b w:val="0"/>
                <w:sz w:val="16"/>
              </w:rPr>
              <w:t>Shadow comparison / safety check</w:t>
            </w:r>
          </w:p>
        </w:tc>
        <w:tc>
          <w:tcPr>
            <w:tcW w:type="dxa" w:w="3168"/>
            <w:vAlign w:val="top"/>
          </w:tcPr>
          <w:p>
            <w:r/>
            <w:r>
              <w:rPr>
                <w:rFonts w:ascii="Arial" w:hAnsi="Arial"/>
                <w:b w:val="0"/>
                <w:sz w:val="16"/>
              </w:rPr>
              <w:t>Creates repeatable grading logic and reduces inconsistent manual grading</w:t>
            </w:r>
          </w:p>
        </w:tc>
      </w:tr>
      <w:tr>
        <w:tc>
          <w:tcPr>
            <w:tcW w:type="dxa" w:w="1728"/>
            <w:vAlign w:val="top"/>
          </w:tcPr>
          <w:p>
            <w:r/>
            <w:r>
              <w:rPr>
                <w:rFonts w:ascii="Arial" w:hAnsi="Arial"/>
                <w:b w:val="0"/>
                <w:sz w:val="16"/>
              </w:rPr>
              <w:t>AI grading</w:t>
            </w:r>
          </w:p>
        </w:tc>
        <w:tc>
          <w:tcPr>
            <w:tcW w:type="dxa" w:w="2304"/>
            <w:vAlign w:val="top"/>
          </w:tcPr>
          <w:p>
            <w:r/>
            <w:r>
              <w:rPr>
                <w:rFonts w:ascii="Arial" w:hAnsi="Arial"/>
                <w:b w:val="0"/>
                <w:sz w:val="16"/>
              </w:rPr>
              <w:t>Advisory grade and future calibration layer</w:t>
            </w:r>
          </w:p>
        </w:tc>
        <w:tc>
          <w:tcPr>
            <w:tcW w:type="dxa" w:w="2592"/>
            <w:vAlign w:val="top"/>
          </w:tcPr>
          <w:p>
            <w:r/>
            <w:r>
              <w:rPr>
                <w:rFonts w:ascii="Arial" w:hAnsi="Arial"/>
                <w:b w:val="0"/>
                <w:sz w:val="16"/>
              </w:rPr>
              <w:t>Primary semantic evaluator through tool-use agent</w:t>
            </w:r>
          </w:p>
        </w:tc>
        <w:tc>
          <w:tcPr>
            <w:tcW w:type="dxa" w:w="3168"/>
            <w:vAlign w:val="top"/>
          </w:tcPr>
          <w:p>
            <w:r/>
            <w:r>
              <w:rPr>
                <w:rFonts w:ascii="Arial" w:hAnsi="Arial"/>
                <w:b w:val="0"/>
                <w:sz w:val="16"/>
              </w:rPr>
              <w:t>Improves feedback quality and handles nuanced assignment evaluation</w:t>
            </w:r>
          </w:p>
        </w:tc>
      </w:tr>
      <w:tr>
        <w:tc>
          <w:tcPr>
            <w:tcW w:type="dxa" w:w="1728"/>
            <w:vAlign w:val="top"/>
          </w:tcPr>
          <w:p>
            <w:r/>
            <w:r>
              <w:rPr>
                <w:rFonts w:ascii="Arial" w:hAnsi="Arial"/>
                <w:b w:val="0"/>
                <w:sz w:val="16"/>
              </w:rPr>
              <w:t>SQL Server</w:t>
            </w:r>
          </w:p>
        </w:tc>
        <w:tc>
          <w:tcPr>
            <w:tcW w:type="dxa" w:w="2304"/>
            <w:vAlign w:val="top"/>
          </w:tcPr>
          <w:p>
            <w:r/>
            <w:r>
              <w:rPr>
                <w:rFonts w:ascii="Arial" w:hAnsi="Arial"/>
                <w:b w:val="0"/>
                <w:sz w:val="16"/>
              </w:rPr>
              <w:t>Source view and write tables</w:t>
            </w:r>
          </w:p>
        </w:tc>
        <w:tc>
          <w:tcPr>
            <w:tcW w:type="dxa" w:w="2592"/>
            <w:vAlign w:val="top"/>
          </w:tcPr>
          <w:p>
            <w:r/>
            <w:r>
              <w:rPr>
                <w:rFonts w:ascii="Arial" w:hAnsi="Arial"/>
                <w:b w:val="0"/>
                <w:sz w:val="16"/>
              </w:rPr>
              <w:t>Source/test switching and test write tables</w:t>
            </w:r>
          </w:p>
        </w:tc>
        <w:tc>
          <w:tcPr>
            <w:tcW w:type="dxa" w:w="3168"/>
            <w:vAlign w:val="top"/>
          </w:tcPr>
          <w:p>
            <w:r/>
            <w:r>
              <w:rPr>
                <w:rFonts w:ascii="Arial" w:hAnsi="Arial"/>
                <w:b w:val="0"/>
                <w:sz w:val="16"/>
              </w:rPr>
              <w:t>Creates auditable, dashboard-ready grading records</w:t>
            </w:r>
          </w:p>
        </w:tc>
      </w:tr>
      <w:tr>
        <w:tc>
          <w:tcPr>
            <w:tcW w:type="dxa" w:w="1728"/>
            <w:vAlign w:val="top"/>
          </w:tcPr>
          <w:p>
            <w:r/>
            <w:r>
              <w:rPr>
                <w:rFonts w:ascii="Arial" w:hAnsi="Arial"/>
                <w:b w:val="0"/>
                <w:sz w:val="16"/>
              </w:rPr>
              <w:t>Email service</w:t>
            </w:r>
          </w:p>
        </w:tc>
        <w:tc>
          <w:tcPr>
            <w:tcW w:type="dxa" w:w="2304"/>
            <w:vAlign w:val="top"/>
          </w:tcPr>
          <w:p>
            <w:r/>
            <w:r>
              <w:rPr>
                <w:rFonts w:ascii="Arial" w:hAnsi="Arial"/>
                <w:b w:val="0"/>
                <w:sz w:val="16"/>
              </w:rPr>
              <w:t>Student feedback and instructor escalation</w:t>
            </w:r>
          </w:p>
        </w:tc>
        <w:tc>
          <w:tcPr>
            <w:tcW w:type="dxa" w:w="2592"/>
            <w:vAlign w:val="top"/>
          </w:tcPr>
          <w:p>
            <w:r/>
            <w:r>
              <w:rPr>
                <w:rFonts w:ascii="Arial" w:hAnsi="Arial"/>
                <w:b w:val="0"/>
                <w:sz w:val="16"/>
              </w:rPr>
              <w:t>Guarded email behavior after insert success</w:t>
            </w:r>
          </w:p>
        </w:tc>
        <w:tc>
          <w:tcPr>
            <w:tcW w:type="dxa" w:w="3168"/>
            <w:vAlign w:val="top"/>
          </w:tcPr>
          <w:p>
            <w:r/>
            <w:r>
              <w:rPr>
                <w:rFonts w:ascii="Arial" w:hAnsi="Arial"/>
                <w:b w:val="0"/>
                <w:sz w:val="16"/>
              </w:rPr>
              <w:t>Reduces manual communication workload</w:t>
            </w:r>
          </w:p>
        </w:tc>
      </w:tr>
      <w:tr>
        <w:tc>
          <w:tcPr>
            <w:tcW w:type="dxa" w:w="1728"/>
            <w:vAlign w:val="top"/>
          </w:tcPr>
          <w:p>
            <w:r/>
            <w:r>
              <w:rPr>
                <w:rFonts w:ascii="Arial" w:hAnsi="Arial"/>
                <w:b w:val="0"/>
                <w:sz w:val="16"/>
              </w:rPr>
              <w:t>Benchmarking</w:t>
            </w:r>
          </w:p>
        </w:tc>
        <w:tc>
          <w:tcPr>
            <w:tcW w:type="dxa" w:w="2304"/>
            <w:vAlign w:val="top"/>
          </w:tcPr>
          <w:p>
            <w:r/>
            <w:r>
              <w:rPr>
                <w:rFonts w:ascii="Arial" w:hAnsi="Arial"/>
                <w:b w:val="0"/>
                <w:sz w:val="16"/>
              </w:rPr>
              <w:t>Limited/implicit</w:t>
            </w:r>
          </w:p>
        </w:tc>
        <w:tc>
          <w:tcPr>
            <w:tcW w:type="dxa" w:w="2592"/>
            <w:vAlign w:val="top"/>
          </w:tcPr>
          <w:p>
            <w:r/>
            <w:r>
              <w:rPr>
                <w:rFonts w:ascii="Arial" w:hAnsi="Arial"/>
                <w:b w:val="0"/>
                <w:sz w:val="16"/>
              </w:rPr>
              <w:t>Explicit benchmark and shadow analysis scripts</w:t>
            </w:r>
          </w:p>
        </w:tc>
        <w:tc>
          <w:tcPr>
            <w:tcW w:type="dxa" w:w="3168"/>
            <w:vAlign w:val="top"/>
          </w:tcPr>
          <w:p>
            <w:r/>
            <w:r>
              <w:rPr>
                <w:rFonts w:ascii="Arial" w:hAnsi="Arial"/>
                <w:b w:val="0"/>
                <w:sz w:val="16"/>
              </w:rPr>
              <w:t>Creates quality controls before promotion</w:t>
            </w:r>
          </w:p>
        </w:tc>
      </w:tr>
    </w:tbl>
    <w:p>
      <w:pPr>
        <w:spacing w:after="100"/>
      </w:pPr>
    </w:p>
    <w:p>
      <w:pPr>
        <w:pStyle w:val="Heading1"/>
        <w:spacing w:after="80" w:before="160"/>
      </w:pPr>
      <w:r>
        <w:t>2. Grading Workflow</w:t>
      </w:r>
    </w:p>
    <w:p>
      <w:pPr>
        <w:pStyle w:val="Heading2"/>
        <w:spacing w:after="80" w:before="160"/>
      </w:pPr>
      <w:r>
        <w:t>End-to-end grading flow</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1. Pull ungraded homework rows from SQL Server</w:t>
            </w:r>
          </w:p>
          <w:p>
            <w:pPr>
              <w:spacing w:after="0"/>
            </w:pPr>
            <w:r>
              <w:rPr>
                <w:rFonts w:ascii="Courier New" w:hAnsi="Courier New"/>
                <w:color w:val="1F2937"/>
                <w:sz w:val="16"/>
              </w:rPr>
              <w:t>2. Download student submission ZIP and answer key ZIP</w:t>
            </w:r>
          </w:p>
          <w:p>
            <w:pPr>
              <w:spacing w:after="0"/>
            </w:pPr>
            <w:r>
              <w:rPr>
                <w:rFonts w:ascii="Courier New" w:hAnsi="Courier New"/>
                <w:color w:val="1F2937"/>
                <w:sz w:val="16"/>
              </w:rPr>
              <w:t>3. Inspect expected file types (.sql, .docx, paragraph-style content)</w:t>
            </w:r>
          </w:p>
          <w:p>
            <w:pPr>
              <w:spacing w:after="0"/>
            </w:pPr>
            <w:r>
              <w:rPr>
                <w:rFonts w:ascii="Courier New" w:hAnsi="Courier New"/>
                <w:color w:val="1F2937"/>
                <w:sz w:val="16"/>
              </w:rPr>
              <w:t>4. Apply validation logic:</w:t>
            </w:r>
          </w:p>
          <w:p>
            <w:pPr>
              <w:spacing w:after="0"/>
            </w:pPr>
            <w:r>
              <w:rPr>
                <w:rFonts w:ascii="Courier New" w:hAnsi="Courier New"/>
                <w:color w:val="1F2937"/>
                <w:sz w:val="16"/>
              </w:rPr>
              <w:t xml:space="preserve">      - SQL structure and required operations</w:t>
            </w:r>
          </w:p>
          <w:p>
            <w:pPr>
              <w:spacing w:after="0"/>
            </w:pPr>
            <w:r>
              <w:rPr>
                <w:rFonts w:ascii="Courier New" w:hAnsi="Courier New"/>
                <w:color w:val="1F2937"/>
                <w:sz w:val="16"/>
              </w:rPr>
              <w:t xml:space="preserve">      - DOCX screenshot / paragraph checks</w:t>
            </w:r>
          </w:p>
          <w:p>
            <w:pPr>
              <w:spacing w:after="0"/>
            </w:pPr>
            <w:r>
              <w:rPr>
                <w:rFonts w:ascii="Courier New" w:hAnsi="Courier New"/>
                <w:color w:val="1F2937"/>
                <w:sz w:val="16"/>
              </w:rPr>
              <w:t xml:space="preserve">      - Empty or invalid file detection</w:t>
            </w:r>
          </w:p>
          <w:p>
            <w:pPr>
              <w:spacing w:after="0"/>
            </w:pPr>
            <w:r>
              <w:rPr>
                <w:rFonts w:ascii="Courier New" w:hAnsi="Courier New"/>
                <w:color w:val="1F2937"/>
                <w:sz w:val="16"/>
              </w:rPr>
              <w:t>5. Generate grade from 1 to 5</w:t>
            </w:r>
          </w:p>
          <w:p>
            <w:pPr>
              <w:spacing w:after="0"/>
            </w:pPr>
            <w:r>
              <w:rPr>
                <w:rFonts w:ascii="Courier New" w:hAnsi="Courier New"/>
                <w:color w:val="1F2937"/>
                <w:sz w:val="16"/>
              </w:rPr>
              <w:t>6. Generate comments and feedback</w:t>
            </w:r>
          </w:p>
          <w:p>
            <w:pPr>
              <w:spacing w:after="0"/>
            </w:pPr>
            <w:r>
              <w:rPr>
                <w:rFonts w:ascii="Courier New" w:hAnsi="Courier New"/>
                <w:color w:val="1F2937"/>
                <w:sz w:val="16"/>
              </w:rPr>
              <w:t>7. Route result:</w:t>
            </w:r>
          </w:p>
          <w:p>
            <w:pPr>
              <w:spacing w:after="0"/>
            </w:pPr>
            <w:r>
              <w:rPr>
                <w:rFonts w:ascii="Courier New" w:hAnsi="Courier New"/>
                <w:color w:val="1F2937"/>
                <w:sz w:val="16"/>
              </w:rPr>
              <w:t xml:space="preserve">      - Passing / acceptable grade -&gt; graded table + student feedback email</w:t>
            </w:r>
          </w:p>
          <w:p>
            <w:pPr>
              <w:spacing w:after="0"/>
            </w:pPr>
            <w:r>
              <w:rPr>
                <w:rFonts w:ascii="Courier New" w:hAnsi="Courier New"/>
                <w:color w:val="1F2937"/>
                <w:sz w:val="16"/>
              </w:rPr>
              <w:t xml:space="preserve">      - Missing answer key or low grade -&gt; reject table + instructor escalation</w:t>
            </w:r>
          </w:p>
          <w:p>
            <w:pPr>
              <w:spacing w:after="0"/>
            </w:pPr>
            <w:r>
              <w:rPr>
                <w:rFonts w:ascii="Courier New" w:hAnsi="Courier New"/>
                <w:color w:val="1F2937"/>
                <w:sz w:val="16"/>
              </w:rPr>
              <w:t>8. Store output for Power BI metrics</w:t>
            </w:r>
          </w:p>
        </w:tc>
      </w:tr>
    </w:tbl>
    <w:p>
      <w:pPr>
        <w:spacing w:after="100"/>
      </w:pPr>
    </w:p>
    <w:p>
      <w:pPr>
        <w:pStyle w:val="Heading2"/>
        <w:spacing w:after="80" w:before="160"/>
      </w:pPr>
      <w:r>
        <w:t>Assignment-type grading logic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center"/>
          </w:tcPr>
          <w:p>
            <w:r/>
            <w:r>
              <w:rPr>
                <w:rFonts w:ascii="Arial" w:hAnsi="Arial"/>
                <w:b/>
                <w:color w:val="FFFFFF"/>
                <w:sz w:val="16"/>
              </w:rPr>
              <w:t>Assignment type</w:t>
            </w:r>
          </w:p>
        </w:tc>
        <w:tc>
          <w:tcPr>
            <w:tcW w:type="dxa" w:w="3168"/>
            <w:shd w:fill="1F4E79"/>
            <w:vAlign w:val="center"/>
          </w:tcPr>
          <w:p>
            <w:r/>
            <w:r>
              <w:rPr>
                <w:rFonts w:ascii="Arial" w:hAnsi="Arial"/>
                <w:b/>
                <w:color w:val="FFFFFF"/>
                <w:sz w:val="16"/>
              </w:rPr>
              <w:t>Current grading signal</w:t>
            </w:r>
          </w:p>
        </w:tc>
        <w:tc>
          <w:tcPr>
            <w:tcW w:type="dxa" w:w="2448"/>
            <w:shd w:fill="1F4E79"/>
            <w:vAlign w:val="center"/>
          </w:tcPr>
          <w:p>
            <w:r/>
            <w:r>
              <w:rPr>
                <w:rFonts w:ascii="Arial" w:hAnsi="Arial"/>
                <w:b/>
                <w:color w:val="FFFFFF"/>
                <w:sz w:val="16"/>
              </w:rPr>
              <w:t>Strength</w:t>
            </w:r>
          </w:p>
        </w:tc>
        <w:tc>
          <w:tcPr>
            <w:tcW w:type="dxa" w:w="3024"/>
            <w:shd w:fill="1F4E79"/>
            <w:vAlign w:val="center"/>
          </w:tcPr>
          <w:p>
            <w:r/>
            <w:r>
              <w:rPr>
                <w:rFonts w:ascii="Arial" w:hAnsi="Arial"/>
                <w:b/>
                <w:color w:val="FFFFFF"/>
                <w:sz w:val="16"/>
              </w:rPr>
              <w:t>Limitation</w:t>
            </w:r>
          </w:p>
        </w:tc>
      </w:tr>
      <w:tr>
        <w:tc>
          <w:tcPr>
            <w:tcW w:type="dxa" w:w="1728"/>
            <w:vAlign w:val="top"/>
          </w:tcPr>
          <w:p>
            <w:r/>
            <w:r>
              <w:rPr>
                <w:rFonts w:ascii="Arial" w:hAnsi="Arial"/>
                <w:b w:val="0"/>
                <w:sz w:val="16"/>
              </w:rPr>
              <w:t>SQL</w:t>
            </w:r>
          </w:p>
        </w:tc>
        <w:tc>
          <w:tcPr>
            <w:tcW w:type="dxa" w:w="3168"/>
            <w:vAlign w:val="top"/>
          </w:tcPr>
          <w:p>
            <w:r/>
            <w:r>
              <w:rPr>
                <w:rFonts w:ascii="Arial" w:hAnsi="Arial"/>
                <w:b w:val="0"/>
                <w:sz w:val="16"/>
              </w:rPr>
              <w:t>Required SQL operation coverage and structural comparison against answer key</w:t>
            </w:r>
          </w:p>
        </w:tc>
        <w:tc>
          <w:tcPr>
            <w:tcW w:type="dxa" w:w="2448"/>
            <w:vAlign w:val="top"/>
          </w:tcPr>
          <w:p>
            <w:r/>
            <w:r>
              <w:rPr>
                <w:rFonts w:ascii="Arial" w:hAnsi="Arial"/>
                <w:b w:val="0"/>
                <w:sz w:val="16"/>
              </w:rPr>
              <w:t>Repeatable and explainable; good for initial automation</w:t>
            </w:r>
          </w:p>
        </w:tc>
        <w:tc>
          <w:tcPr>
            <w:tcW w:type="dxa" w:w="3024"/>
            <w:vAlign w:val="top"/>
          </w:tcPr>
          <w:p>
            <w:r/>
            <w:r>
              <w:rPr>
                <w:rFonts w:ascii="Arial" w:hAnsi="Arial"/>
                <w:b w:val="0"/>
                <w:sz w:val="16"/>
              </w:rPr>
              <w:t>Does not yet execute SQL and compare result sets</w:t>
            </w:r>
          </w:p>
        </w:tc>
      </w:tr>
      <w:tr>
        <w:tc>
          <w:tcPr>
            <w:tcW w:type="dxa" w:w="1728"/>
            <w:vAlign w:val="top"/>
          </w:tcPr>
          <w:p>
            <w:r/>
            <w:r>
              <w:rPr>
                <w:rFonts w:ascii="Arial" w:hAnsi="Arial"/>
                <w:b w:val="0"/>
                <w:sz w:val="16"/>
              </w:rPr>
              <w:t>DOCX</w:t>
            </w:r>
          </w:p>
        </w:tc>
        <w:tc>
          <w:tcPr>
            <w:tcW w:type="dxa" w:w="3168"/>
            <w:vAlign w:val="top"/>
          </w:tcPr>
          <w:p>
            <w:r/>
            <w:r>
              <w:rPr>
                <w:rFonts w:ascii="Arial" w:hAnsi="Arial"/>
                <w:b w:val="0"/>
                <w:sz w:val="16"/>
              </w:rPr>
              <w:t>Screenshot count, document presence, non-empty content, and basic structure</w:t>
            </w:r>
          </w:p>
        </w:tc>
        <w:tc>
          <w:tcPr>
            <w:tcW w:type="dxa" w:w="2448"/>
            <w:vAlign w:val="top"/>
          </w:tcPr>
          <w:p>
            <w:r/>
            <w:r>
              <w:rPr>
                <w:rFonts w:ascii="Arial" w:hAnsi="Arial"/>
                <w:b w:val="0"/>
                <w:sz w:val="16"/>
              </w:rPr>
              <w:t>Works for screenshot-based homework verification</w:t>
            </w:r>
          </w:p>
        </w:tc>
        <w:tc>
          <w:tcPr>
            <w:tcW w:type="dxa" w:w="3024"/>
            <w:vAlign w:val="top"/>
          </w:tcPr>
          <w:p>
            <w:r/>
            <w:r>
              <w:rPr>
                <w:rFonts w:ascii="Arial" w:hAnsi="Arial"/>
                <w:b w:val="0"/>
                <w:sz w:val="16"/>
              </w:rPr>
              <w:t>Does not deeply evaluate the quality or correctness of screenshots</w:t>
            </w:r>
          </w:p>
        </w:tc>
      </w:tr>
      <w:tr>
        <w:tc>
          <w:tcPr>
            <w:tcW w:type="dxa" w:w="1728"/>
            <w:vAlign w:val="top"/>
          </w:tcPr>
          <w:p>
            <w:r/>
            <w:r>
              <w:rPr>
                <w:rFonts w:ascii="Arial" w:hAnsi="Arial"/>
                <w:b w:val="0"/>
                <w:sz w:val="16"/>
              </w:rPr>
              <w:t>Paragraph</w:t>
            </w:r>
          </w:p>
        </w:tc>
        <w:tc>
          <w:tcPr>
            <w:tcW w:type="dxa" w:w="3168"/>
            <w:vAlign w:val="top"/>
          </w:tcPr>
          <w:p>
            <w:r/>
            <w:r>
              <w:rPr>
                <w:rFonts w:ascii="Arial" w:hAnsi="Arial"/>
                <w:b w:val="0"/>
                <w:sz w:val="16"/>
              </w:rPr>
              <w:t>Paragraph count / text presence</w:t>
            </w:r>
          </w:p>
        </w:tc>
        <w:tc>
          <w:tcPr>
            <w:tcW w:type="dxa" w:w="2448"/>
            <w:vAlign w:val="top"/>
          </w:tcPr>
          <w:p>
            <w:r/>
            <w:r>
              <w:rPr>
                <w:rFonts w:ascii="Arial" w:hAnsi="Arial"/>
                <w:b w:val="0"/>
                <w:sz w:val="16"/>
              </w:rPr>
              <w:t>Useful for submission completeness validation</w:t>
            </w:r>
          </w:p>
        </w:tc>
        <w:tc>
          <w:tcPr>
            <w:tcW w:type="dxa" w:w="3024"/>
            <w:vAlign w:val="top"/>
          </w:tcPr>
          <w:p>
            <w:r/>
            <w:r>
              <w:rPr>
                <w:rFonts w:ascii="Arial" w:hAnsi="Arial"/>
                <w:b w:val="0"/>
                <w:sz w:val="16"/>
              </w:rPr>
              <w:t>Not a semantic writing-quality evaluation</w:t>
            </w:r>
          </w:p>
        </w:tc>
      </w:tr>
      <w:tr>
        <w:tc>
          <w:tcPr>
            <w:tcW w:type="dxa" w:w="1728"/>
            <w:vAlign w:val="top"/>
          </w:tcPr>
          <w:p>
            <w:r/>
            <w:r>
              <w:rPr>
                <w:rFonts w:ascii="Arial" w:hAnsi="Arial"/>
                <w:b w:val="0"/>
                <w:sz w:val="16"/>
              </w:rPr>
              <w:t>Invalid/empty submissions</w:t>
            </w:r>
          </w:p>
        </w:tc>
        <w:tc>
          <w:tcPr>
            <w:tcW w:type="dxa" w:w="3168"/>
            <w:vAlign w:val="top"/>
          </w:tcPr>
          <w:p>
            <w:r/>
            <w:r>
              <w:rPr>
                <w:rFonts w:ascii="Arial" w:hAnsi="Arial"/>
                <w:b w:val="0"/>
                <w:sz w:val="16"/>
              </w:rPr>
              <w:t>Missing required files or empty content triggers low grade / escalation</w:t>
            </w:r>
          </w:p>
        </w:tc>
        <w:tc>
          <w:tcPr>
            <w:tcW w:type="dxa" w:w="2448"/>
            <w:vAlign w:val="top"/>
          </w:tcPr>
          <w:p>
            <w:r/>
            <w:r>
              <w:rPr>
                <w:rFonts w:ascii="Arial" w:hAnsi="Arial"/>
                <w:b w:val="0"/>
                <w:sz w:val="16"/>
              </w:rPr>
              <w:t>Protects instructors from manually discovering basic submission failures</w:t>
            </w:r>
          </w:p>
        </w:tc>
        <w:tc>
          <w:tcPr>
            <w:tcW w:type="dxa" w:w="3024"/>
            <w:vAlign w:val="top"/>
          </w:tcPr>
          <w:p>
            <w:r/>
            <w:r>
              <w:rPr>
                <w:rFonts w:ascii="Arial" w:hAnsi="Arial"/>
                <w:b w:val="0"/>
                <w:sz w:val="16"/>
              </w:rPr>
              <w:t>Needs stronger reason-code standardization for analytics</w:t>
            </w:r>
          </w:p>
        </w:tc>
      </w:tr>
    </w:tbl>
    <w:p>
      <w:pPr>
        <w:spacing w:after="100"/>
      </w:pPr>
    </w:p>
    <w:p>
      <w:pPr>
        <w:pStyle w:val="Heading2"/>
        <w:spacing w:after="80" w:before="160"/>
      </w:pPr>
      <w:r>
        <w:t>Production grading authority</w:t>
      </w:r>
    </w:p>
    <w:p>
      <w:pPr>
        <w:spacing w:after="100"/>
      </w:pPr>
      <w:r>
        <w:rPr>
          <w:rFonts w:ascii="Arial" w:hAnsi="Arial"/>
        </w:rPr>
        <w:t>In production, the safest description is: Python validation is the grading authority, and AI is used as an advisory comparison layer. This avoids overstating the maturity of AI decisioning while still showing meaningful AI integration.</w:t>
      </w:r>
    </w:p>
    <w:p>
      <w:pPr>
        <w:pStyle w:val="Heading2"/>
        <w:spacing w:after="80" w:before="160"/>
      </w:pPr>
      <w:r>
        <w:t>Testing grading authority</w:t>
      </w:r>
    </w:p>
    <w:p>
      <w:pPr>
        <w:spacing w:after="100"/>
      </w:pPr>
      <w:r>
        <w:rPr>
          <w:rFonts w:ascii="Arial" w:hAnsi="Arial"/>
        </w:rPr>
        <w:t>In testing, the OpenAI agent is promoted to primary grader for experimentation. The Python hybrid grader runs in shadow mode and calculates grade deltas. This is a strong pattern because it allows model behavior to be compared before removing deterministic validation.</w:t>
      </w:r>
    </w:p>
    <w:p>
      <w:pPr>
        <w:spacing w:after="100"/>
      </w:pPr>
      <w:r>
        <w:br w:type="page"/>
      </w:r>
    </w:p>
    <w:p>
      <w:pPr>
        <w:pStyle w:val="Heading1"/>
        <w:spacing w:after="80" w:before="160"/>
      </w:pPr>
      <w:r>
        <w:t>3. Escalation Workflow</w:t>
      </w:r>
    </w:p>
    <w:p>
      <w:pPr>
        <w:spacing w:after="100"/>
      </w:pPr>
      <w:r>
        <w:rPr>
          <w:rFonts w:ascii="Arial" w:hAnsi="Arial"/>
        </w:rPr>
        <w:t>The escalation workflow is one of the strongest business features because it treats the system as a routing engine rather than just a grading script. Straightforward submissions are automated; risky submissions are sent to instructors.</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Escalation decision flow</w:t>
            </w:r>
          </w:p>
          <w:p>
            <w:pPr>
              <w:spacing w:after="0"/>
            </w:pPr>
            <w:r>
              <w:rPr>
                <w:rFonts w:ascii="Courier New" w:hAnsi="Courier New"/>
                <w:color w:val="1F2937"/>
                <w:sz w:val="16"/>
              </w:rPr>
            </w:r>
          </w:p>
          <w:p>
            <w:pPr>
              <w:spacing w:after="0"/>
            </w:pPr>
            <w:r>
              <w:rPr>
                <w:rFonts w:ascii="Courier New" w:hAnsi="Courier New"/>
                <w:color w:val="1F2937"/>
                <w:sz w:val="16"/>
              </w:rPr>
              <w:t>Missing AnswerKey</w:t>
            </w:r>
          </w:p>
          <w:p>
            <w:pPr>
              <w:spacing w:after="0"/>
            </w:pPr>
            <w:r>
              <w:rPr>
                <w:rFonts w:ascii="Courier New" w:hAnsi="Courier New"/>
                <w:color w:val="1F2937"/>
                <w:sz w:val="16"/>
              </w:rPr>
              <w:t xml:space="preserve">   -&gt; Reject table</w:t>
            </w:r>
          </w:p>
          <w:p>
            <w:pPr>
              <w:spacing w:after="0"/>
            </w:pPr>
            <w:r>
              <w:rPr>
                <w:rFonts w:ascii="Courier New" w:hAnsi="Courier New"/>
                <w:color w:val="1F2937"/>
                <w:sz w:val="16"/>
              </w:rPr>
              <w:t xml:space="preserve">   -&gt; Instructor escalation email</w:t>
            </w:r>
          </w:p>
          <w:p>
            <w:pPr>
              <w:spacing w:after="0"/>
            </w:pPr>
            <w:r>
              <w:rPr>
                <w:rFonts w:ascii="Courier New" w:hAnsi="Courier New"/>
                <w:color w:val="1F2937"/>
                <w:sz w:val="16"/>
              </w:rPr>
              <w:t xml:space="preserve">   -&gt; Student feedback email blocked</w:t>
            </w:r>
          </w:p>
          <w:p>
            <w:pPr>
              <w:spacing w:after="0"/>
            </w:pPr>
            <w:r>
              <w:rPr>
                <w:rFonts w:ascii="Courier New" w:hAnsi="Courier New"/>
                <w:color w:val="1F2937"/>
                <w:sz w:val="16"/>
              </w:rPr>
            </w:r>
          </w:p>
          <w:p>
            <w:pPr>
              <w:spacing w:after="0"/>
            </w:pPr>
            <w:r>
              <w:rPr>
                <w:rFonts w:ascii="Courier New" w:hAnsi="Courier New"/>
                <w:color w:val="1F2937"/>
                <w:sz w:val="16"/>
              </w:rPr>
              <w:t>Low grade</w:t>
            </w:r>
          </w:p>
          <w:p>
            <w:pPr>
              <w:spacing w:after="0"/>
            </w:pPr>
            <w:r>
              <w:rPr>
                <w:rFonts w:ascii="Courier New" w:hAnsi="Courier New"/>
                <w:color w:val="1F2937"/>
                <w:sz w:val="16"/>
              </w:rPr>
              <w:t xml:space="preserve">   -&gt; Reject table</w:t>
            </w:r>
          </w:p>
          <w:p>
            <w:pPr>
              <w:spacing w:after="0"/>
            </w:pPr>
            <w:r>
              <w:rPr>
                <w:rFonts w:ascii="Courier New" w:hAnsi="Courier New"/>
                <w:color w:val="1F2937"/>
                <w:sz w:val="16"/>
              </w:rPr>
              <w:t xml:space="preserve">   -&gt; Instructor escalation email</w:t>
            </w:r>
          </w:p>
          <w:p>
            <w:pPr>
              <w:spacing w:after="0"/>
            </w:pPr>
            <w:r>
              <w:rPr>
                <w:rFonts w:ascii="Courier New" w:hAnsi="Courier New"/>
                <w:color w:val="1F2937"/>
                <w:sz w:val="16"/>
              </w:rPr>
              <w:t xml:space="preserve">   -&gt; Student feedback email blocked</w:t>
            </w:r>
          </w:p>
          <w:p>
            <w:pPr>
              <w:spacing w:after="0"/>
            </w:pPr>
            <w:r>
              <w:rPr>
                <w:rFonts w:ascii="Courier New" w:hAnsi="Courier New"/>
                <w:color w:val="1F2937"/>
                <w:sz w:val="16"/>
              </w:rPr>
            </w:r>
          </w:p>
          <w:p>
            <w:pPr>
              <w:spacing w:after="0"/>
            </w:pPr>
            <w:r>
              <w:rPr>
                <w:rFonts w:ascii="Courier New" w:hAnsi="Courier New"/>
                <w:color w:val="1F2937"/>
                <w:sz w:val="16"/>
              </w:rPr>
              <w:t>Passing grade</w:t>
            </w:r>
          </w:p>
          <w:p>
            <w:pPr>
              <w:spacing w:after="0"/>
            </w:pPr>
            <w:r>
              <w:rPr>
                <w:rFonts w:ascii="Courier New" w:hAnsi="Courier New"/>
                <w:color w:val="1F2937"/>
                <w:sz w:val="16"/>
              </w:rPr>
              <w:t xml:space="preserve">   -&gt; Main graded table</w:t>
            </w:r>
          </w:p>
          <w:p>
            <w:pPr>
              <w:spacing w:after="0"/>
            </w:pPr>
            <w:r>
              <w:rPr>
                <w:rFonts w:ascii="Courier New" w:hAnsi="Courier New"/>
                <w:color w:val="1F2937"/>
                <w:sz w:val="16"/>
              </w:rPr>
              <w:t xml:space="preserve">   -&gt; Student feedback email</w:t>
            </w:r>
          </w:p>
          <w:p>
            <w:pPr>
              <w:spacing w:after="0"/>
            </w:pPr>
            <w:r>
              <w:rPr>
                <w:rFonts w:ascii="Courier New" w:hAnsi="Courier New"/>
                <w:color w:val="1F2937"/>
                <w:sz w:val="16"/>
              </w:rPr>
            </w:r>
          </w:p>
          <w:p>
            <w:pPr>
              <w:spacing w:after="0"/>
            </w:pPr>
            <w:r>
              <w:rPr>
                <w:rFonts w:ascii="Courier New" w:hAnsi="Courier New"/>
                <w:color w:val="1F2937"/>
                <w:sz w:val="16"/>
              </w:rPr>
              <w:t>Passing grade with support flag</w:t>
            </w:r>
          </w:p>
          <w:p>
            <w:pPr>
              <w:spacing w:after="0"/>
            </w:pPr>
            <w:r>
              <w:rPr>
                <w:rFonts w:ascii="Courier New" w:hAnsi="Courier New"/>
                <w:color w:val="1F2937"/>
                <w:sz w:val="16"/>
              </w:rPr>
              <w:t xml:space="preserve">   -&gt; Main graded table</w:t>
            </w:r>
          </w:p>
          <w:p>
            <w:pPr>
              <w:spacing w:after="0"/>
            </w:pPr>
            <w:r>
              <w:rPr>
                <w:rFonts w:ascii="Courier New" w:hAnsi="Courier New"/>
                <w:color w:val="1F2937"/>
                <w:sz w:val="16"/>
              </w:rPr>
              <w:t xml:space="preserve">   -&gt; Student feedback email</w:t>
            </w:r>
          </w:p>
          <w:p>
            <w:pPr>
              <w:spacing w:after="0"/>
            </w:pPr>
            <w:r>
              <w:rPr>
                <w:rFonts w:ascii="Courier New" w:hAnsi="Courier New"/>
                <w:color w:val="1F2937"/>
                <w:sz w:val="16"/>
              </w:rPr>
              <w:t xml:space="preserve">   -&gt; Optional instructor escalation</w:t>
            </w:r>
          </w:p>
        </w:tc>
      </w:tr>
    </w:tbl>
    <w:p>
      <w:pPr>
        <w:spacing w:after="10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F4E79"/>
            <w:vAlign w:val="center"/>
          </w:tcPr>
          <w:p>
            <w:r/>
            <w:r>
              <w:rPr>
                <w:rFonts w:ascii="Arial" w:hAnsi="Arial"/>
                <w:b/>
                <w:color w:val="FFFFFF"/>
                <w:sz w:val="16"/>
              </w:rPr>
              <w:t>Trigger</w:t>
            </w:r>
          </w:p>
        </w:tc>
        <w:tc>
          <w:tcPr>
            <w:tcW w:type="dxa" w:w="2592"/>
            <w:shd w:fill="1F4E79"/>
            <w:vAlign w:val="center"/>
          </w:tcPr>
          <w:p>
            <w:r/>
            <w:r>
              <w:rPr>
                <w:rFonts w:ascii="Arial" w:hAnsi="Arial"/>
                <w:b/>
                <w:color w:val="FFFFFF"/>
                <w:sz w:val="16"/>
              </w:rPr>
              <w:t>Production behavior</w:t>
            </w:r>
          </w:p>
        </w:tc>
        <w:tc>
          <w:tcPr>
            <w:tcW w:type="dxa" w:w="2592"/>
            <w:shd w:fill="1F4E79"/>
            <w:vAlign w:val="center"/>
          </w:tcPr>
          <w:p>
            <w:r/>
            <w:r>
              <w:rPr>
                <w:rFonts w:ascii="Arial" w:hAnsi="Arial"/>
                <w:b/>
                <w:color w:val="FFFFFF"/>
                <w:sz w:val="16"/>
              </w:rPr>
              <w:t>Testing behavior</w:t>
            </w:r>
          </w:p>
        </w:tc>
        <w:tc>
          <w:tcPr>
            <w:tcW w:type="dxa" w:w="3312"/>
            <w:shd w:fill="1F4E79"/>
            <w:vAlign w:val="center"/>
          </w:tcPr>
          <w:p>
            <w:r/>
            <w:r>
              <w:rPr>
                <w:rFonts w:ascii="Arial" w:hAnsi="Arial"/>
                <w:b/>
                <w:color w:val="FFFFFF"/>
                <w:sz w:val="16"/>
              </w:rPr>
              <w:t>Recommended standard</w:t>
            </w:r>
          </w:p>
        </w:tc>
      </w:tr>
      <w:tr>
        <w:tc>
          <w:tcPr>
            <w:tcW w:type="dxa" w:w="2160"/>
            <w:vAlign w:val="top"/>
          </w:tcPr>
          <w:p>
            <w:r/>
            <w:r>
              <w:rPr>
                <w:rFonts w:ascii="Arial" w:hAnsi="Arial"/>
                <w:b w:val="0"/>
                <w:sz w:val="16"/>
              </w:rPr>
              <w:t>Missing answer key</w:t>
            </w:r>
          </w:p>
        </w:tc>
        <w:tc>
          <w:tcPr>
            <w:tcW w:type="dxa" w:w="2592"/>
            <w:vAlign w:val="top"/>
          </w:tcPr>
          <w:p>
            <w:r/>
            <w:r>
              <w:rPr>
                <w:rFonts w:ascii="Arial" w:hAnsi="Arial"/>
                <w:b w:val="0"/>
                <w:sz w:val="16"/>
              </w:rPr>
              <w:t>Escalate and block student email</w:t>
            </w:r>
          </w:p>
        </w:tc>
        <w:tc>
          <w:tcPr>
            <w:tcW w:type="dxa" w:w="2592"/>
            <w:vAlign w:val="top"/>
          </w:tcPr>
          <w:p>
            <w:r/>
            <w:r>
              <w:rPr>
                <w:rFonts w:ascii="Arial" w:hAnsi="Arial"/>
                <w:b w:val="0"/>
                <w:sz w:val="16"/>
              </w:rPr>
              <w:t>Escalate and only email instructor if reject insert succeeds</w:t>
            </w:r>
          </w:p>
        </w:tc>
        <w:tc>
          <w:tcPr>
            <w:tcW w:type="dxa" w:w="3312"/>
            <w:vAlign w:val="top"/>
          </w:tcPr>
          <w:p>
            <w:r/>
            <w:r>
              <w:rPr>
                <w:rFonts w:ascii="Arial" w:hAnsi="Arial"/>
                <w:b w:val="0"/>
                <w:sz w:val="16"/>
              </w:rPr>
              <w:t>Keep testing pattern as enterprise standard</w:t>
            </w:r>
          </w:p>
        </w:tc>
      </w:tr>
      <w:tr>
        <w:tc>
          <w:tcPr>
            <w:tcW w:type="dxa" w:w="2160"/>
            <w:vAlign w:val="top"/>
          </w:tcPr>
          <w:p>
            <w:r/>
            <w:r>
              <w:rPr>
                <w:rFonts w:ascii="Arial" w:hAnsi="Arial"/>
                <w:b w:val="0"/>
                <w:sz w:val="16"/>
              </w:rPr>
              <w:t>Low grade</w:t>
            </w:r>
          </w:p>
        </w:tc>
        <w:tc>
          <w:tcPr>
            <w:tcW w:type="dxa" w:w="2592"/>
            <w:vAlign w:val="top"/>
          </w:tcPr>
          <w:p>
            <w:r/>
            <w:r>
              <w:rPr>
                <w:rFonts w:ascii="Arial" w:hAnsi="Arial"/>
                <w:b w:val="0"/>
                <w:sz w:val="16"/>
              </w:rPr>
              <w:t>Rejects grade &lt;= 2</w:t>
            </w:r>
          </w:p>
        </w:tc>
        <w:tc>
          <w:tcPr>
            <w:tcW w:type="dxa" w:w="2592"/>
            <w:vAlign w:val="top"/>
          </w:tcPr>
          <w:p>
            <w:r/>
            <w:r>
              <w:rPr>
                <w:rFonts w:ascii="Arial" w:hAnsi="Arial"/>
                <w:b w:val="0"/>
                <w:sz w:val="16"/>
              </w:rPr>
              <w:t>Rejects grade &lt;= 3</w:t>
            </w:r>
          </w:p>
        </w:tc>
        <w:tc>
          <w:tcPr>
            <w:tcW w:type="dxa" w:w="3312"/>
            <w:vAlign w:val="top"/>
          </w:tcPr>
          <w:p>
            <w:r/>
            <w:r>
              <w:rPr>
                <w:rFonts w:ascii="Arial" w:hAnsi="Arial"/>
                <w:b w:val="0"/>
                <w:sz w:val="16"/>
              </w:rPr>
              <w:t>Define one business rule and align both branches</w:t>
            </w:r>
          </w:p>
        </w:tc>
      </w:tr>
      <w:tr>
        <w:tc>
          <w:tcPr>
            <w:tcW w:type="dxa" w:w="2160"/>
            <w:vAlign w:val="top"/>
          </w:tcPr>
          <w:p>
            <w:r/>
            <w:r>
              <w:rPr>
                <w:rFonts w:ascii="Arial" w:hAnsi="Arial"/>
                <w:b w:val="0"/>
                <w:sz w:val="16"/>
              </w:rPr>
              <w:t>Duplicate rejection</w:t>
            </w:r>
          </w:p>
        </w:tc>
        <w:tc>
          <w:tcPr>
            <w:tcW w:type="dxa" w:w="2592"/>
            <w:vAlign w:val="top"/>
          </w:tcPr>
          <w:p>
            <w:r/>
            <w:r>
              <w:rPr>
                <w:rFonts w:ascii="Arial" w:hAnsi="Arial"/>
                <w:b w:val="0"/>
                <w:sz w:val="16"/>
              </w:rPr>
              <w:t>Reject table checks reduce duplicates</w:t>
            </w:r>
          </w:p>
        </w:tc>
        <w:tc>
          <w:tcPr>
            <w:tcW w:type="dxa" w:w="2592"/>
            <w:vAlign w:val="top"/>
          </w:tcPr>
          <w:p>
            <w:r/>
            <w:r>
              <w:rPr>
                <w:rFonts w:ascii="Arial" w:hAnsi="Arial"/>
                <w:b w:val="0"/>
                <w:sz w:val="16"/>
              </w:rPr>
              <w:t>Insert return value controls email sending</w:t>
            </w:r>
          </w:p>
        </w:tc>
        <w:tc>
          <w:tcPr>
            <w:tcW w:type="dxa" w:w="3312"/>
            <w:vAlign w:val="top"/>
          </w:tcPr>
          <w:p>
            <w:r/>
            <w:r>
              <w:rPr>
                <w:rFonts w:ascii="Arial" w:hAnsi="Arial"/>
                <w:b w:val="0"/>
                <w:sz w:val="16"/>
              </w:rPr>
              <w:t>Use insert idempotency as the email control point</w:t>
            </w:r>
          </w:p>
        </w:tc>
      </w:tr>
      <w:tr>
        <w:tc>
          <w:tcPr>
            <w:tcW w:type="dxa" w:w="2160"/>
            <w:vAlign w:val="top"/>
          </w:tcPr>
          <w:p>
            <w:r/>
            <w:r>
              <w:rPr>
                <w:rFonts w:ascii="Arial" w:hAnsi="Arial"/>
                <w:b w:val="0"/>
                <w:sz w:val="16"/>
              </w:rPr>
              <w:t>Repeated poor performance</w:t>
            </w:r>
          </w:p>
        </w:tc>
        <w:tc>
          <w:tcPr>
            <w:tcW w:type="dxa" w:w="2592"/>
            <w:vAlign w:val="top"/>
          </w:tcPr>
          <w:p>
            <w:r/>
            <w:r>
              <w:rPr>
                <w:rFonts w:ascii="Arial" w:hAnsi="Arial"/>
                <w:b w:val="0"/>
                <w:sz w:val="16"/>
              </w:rPr>
              <w:t>Performance escalation logic exists in grading tools</w:t>
            </w:r>
          </w:p>
        </w:tc>
        <w:tc>
          <w:tcPr>
            <w:tcW w:type="dxa" w:w="2592"/>
            <w:vAlign w:val="top"/>
          </w:tcPr>
          <w:p>
            <w:r/>
            <w:r>
              <w:rPr>
                <w:rFonts w:ascii="Arial" w:hAnsi="Arial"/>
                <w:b w:val="0"/>
                <w:sz w:val="16"/>
              </w:rPr>
              <w:t>Available through shared logic</w:t>
            </w:r>
          </w:p>
        </w:tc>
        <w:tc>
          <w:tcPr>
            <w:tcW w:type="dxa" w:w="3312"/>
            <w:vAlign w:val="top"/>
          </w:tcPr>
          <w:p>
            <w:r/>
            <w:r>
              <w:rPr>
                <w:rFonts w:ascii="Arial" w:hAnsi="Arial"/>
                <w:b w:val="0"/>
                <w:sz w:val="16"/>
              </w:rPr>
              <w:t>Persist as separate intervention reason code</w:t>
            </w:r>
          </w:p>
        </w:tc>
      </w:tr>
      <w:tr>
        <w:tc>
          <w:tcPr>
            <w:tcW w:type="dxa" w:w="2160"/>
            <w:vAlign w:val="top"/>
          </w:tcPr>
          <w:p>
            <w:r/>
            <w:r>
              <w:rPr>
                <w:rFonts w:ascii="Arial" w:hAnsi="Arial"/>
                <w:b w:val="0"/>
                <w:sz w:val="16"/>
              </w:rPr>
              <w:t>Low AI confidence</w:t>
            </w:r>
          </w:p>
        </w:tc>
        <w:tc>
          <w:tcPr>
            <w:tcW w:type="dxa" w:w="2592"/>
            <w:vAlign w:val="top"/>
          </w:tcPr>
          <w:p>
            <w:r/>
            <w:r>
              <w:rPr>
                <w:rFonts w:ascii="Arial" w:hAnsi="Arial"/>
                <w:b w:val="0"/>
                <w:sz w:val="16"/>
              </w:rPr>
              <w:t>Not fully operationalized in production</w:t>
            </w:r>
          </w:p>
        </w:tc>
        <w:tc>
          <w:tcPr>
            <w:tcW w:type="dxa" w:w="2592"/>
            <w:vAlign w:val="top"/>
          </w:tcPr>
          <w:p>
            <w:r/>
            <w:r>
              <w:rPr>
                <w:rFonts w:ascii="Arial" w:hAnsi="Arial"/>
                <w:b w:val="0"/>
                <w:sz w:val="16"/>
              </w:rPr>
              <w:t>Agent supports confidence, but persistence needs completion</w:t>
            </w:r>
          </w:p>
        </w:tc>
        <w:tc>
          <w:tcPr>
            <w:tcW w:type="dxa" w:w="3312"/>
            <w:vAlign w:val="top"/>
          </w:tcPr>
          <w:p>
            <w:r/>
            <w:r>
              <w:rPr>
                <w:rFonts w:ascii="Arial" w:hAnsi="Arial"/>
                <w:b w:val="0"/>
                <w:sz w:val="16"/>
              </w:rPr>
              <w:t>Persist confidence and route below threshold to manual review</w:t>
            </w:r>
          </w:p>
        </w:tc>
      </w:tr>
    </w:tbl>
    <w:p>
      <w:pPr>
        <w:spacing w:after="100"/>
      </w:pPr>
    </w:p>
    <w:tbl>
      <w:tblPr>
        <w:tblW w:type="auto" w:w="0"/>
        <w:jc w:val="center"/>
        <w:tblLook w:firstColumn="1" w:firstRow="1" w:lastColumn="0" w:lastRow="0" w:noHBand="0" w:noVBand="1" w:val="04A0"/>
      </w:tblPr>
      <w:tblGrid>
        <w:gridCol w:w="10224"/>
      </w:tblGrid>
      <w:tr>
        <w:tc>
          <w:tcPr>
            <w:tcW w:type="dxa" w:w="10224"/>
            <w:shd w:fill="EAF3F8"/>
            <w:tcBorders>
              <w:top w:sz="10" w:val="single" w:color="1F4E79"/>
              <w:left w:sz="10" w:val="single" w:color="1F4E79"/>
              <w:bottom w:sz="10" w:val="single" w:color="1F4E79"/>
              <w:right w:sz="10" w:val="single" w:color="1F4E79"/>
            </w:tcBorders>
          </w:tcPr>
          <w:p>
            <w:pPr>
              <w:spacing w:after="40"/>
            </w:pPr>
            <w:r/>
            <w:r>
              <w:rPr>
                <w:rFonts w:ascii="Arial" w:hAnsi="Arial"/>
                <w:b/>
                <w:color w:val="1F4E79"/>
                <w:sz w:val="20"/>
              </w:rPr>
              <w:t>Key business value</w:t>
            </w:r>
          </w:p>
          <w:p>
            <w:pPr>
              <w:spacing w:after="0"/>
            </w:pPr>
            <w:r>
              <w:rPr>
                <w:rFonts w:ascii="Arial" w:hAnsi="Arial"/>
                <w:color w:val="1F2937"/>
                <w:sz w:val="18"/>
              </w:rPr>
              <w:t>Escalation logic reduces risk. It prevents questionable grades from being automatically sent to students and gives instructors a focused review queue instead of a large undifferentiated workload.</w:t>
            </w:r>
          </w:p>
        </w:tc>
      </w:tr>
    </w:tbl>
    <w:p>
      <w:pPr>
        <w:spacing w:after="100"/>
      </w:pPr>
    </w:p>
    <w:p>
      <w:pPr>
        <w:pStyle w:val="Heading1"/>
        <w:spacing w:after="80" w:before="160"/>
      </w:pPr>
      <w:r>
        <w:t>4. AI Validation Flow</w:t>
      </w:r>
    </w:p>
    <w:p>
      <w:pPr>
        <w:pStyle w:val="Heading2"/>
        <w:spacing w:after="80" w:before="160"/>
      </w:pPr>
      <w:r>
        <w:t>Production AI validation flow</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Python validator grades submission</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If structure is invalid:</w:t>
            </w:r>
          </w:p>
          <w:p>
            <w:pPr>
              <w:spacing w:after="0"/>
            </w:pPr>
            <w:r>
              <w:rPr>
                <w:rFonts w:ascii="Courier New" w:hAnsi="Courier New"/>
                <w:color w:val="1F2937"/>
                <w:sz w:val="16"/>
              </w:rPr>
              <w:t xml:space="preserve">   |      Final grade comes from Python</w:t>
            </w:r>
          </w:p>
          <w:p>
            <w:pPr>
              <w:spacing w:after="0"/>
            </w:pPr>
            <w:r>
              <w:rPr>
                <w:rFonts w:ascii="Courier New" w:hAnsi="Courier New"/>
                <w:color w:val="1F2937"/>
                <w:sz w:val="16"/>
              </w:rPr>
              <w:t xml:space="preserve">   |      Escalate if needed</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If structure is valid and AI is enabled:</w:t>
            </w:r>
          </w:p>
          <w:p>
            <w:pPr>
              <w:spacing w:after="0"/>
            </w:pPr>
            <w:r>
              <w:rPr>
                <w:rFonts w:ascii="Courier New" w:hAnsi="Courier New"/>
                <w:color w:val="1F2937"/>
                <w:sz w:val="16"/>
              </w:rPr>
              <w:t xml:space="preserve">          AI returns advisory grade</w:t>
            </w:r>
          </w:p>
          <w:p>
            <w:pPr>
              <w:spacing w:after="0"/>
            </w:pPr>
            <w:r>
              <w:rPr>
                <w:rFonts w:ascii="Courier New" w:hAnsi="Courier New"/>
                <w:color w:val="1F2937"/>
                <w:sz w:val="16"/>
              </w:rPr>
              <w:t xml:space="preserve">          System logs AI grade vs Python grade</w:t>
            </w:r>
          </w:p>
          <w:p>
            <w:pPr>
              <w:spacing w:after="0"/>
            </w:pPr>
            <w:r>
              <w:rPr>
                <w:rFonts w:ascii="Courier New" w:hAnsi="Courier New"/>
                <w:color w:val="1F2937"/>
                <w:sz w:val="16"/>
              </w:rPr>
              <w:t xml:space="preserve">          Final grade remains Python-controlled in Phase 1</w:t>
            </w:r>
          </w:p>
        </w:tc>
      </w:tr>
    </w:tbl>
    <w:p>
      <w:pPr>
        <w:spacing w:after="100"/>
      </w:pPr>
    </w:p>
    <w:p>
      <w:pPr>
        <w:pStyle w:val="Heading2"/>
        <w:spacing w:after="80" w:before="160"/>
      </w:pPr>
      <w:r>
        <w:t>Testing AI-agent validation flow</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OpenAI agent workflow</w:t>
            </w:r>
          </w:p>
          <w:p>
            <w:pPr>
              <w:spacing w:after="0"/>
            </w:pPr>
            <w:r>
              <w:rPr>
                <w:rFonts w:ascii="Courier New" w:hAnsi="Courier New"/>
                <w:color w:val="1F2937"/>
                <w:sz w:val="16"/>
              </w:rPr>
            </w:r>
          </w:p>
          <w:p>
            <w:pPr>
              <w:spacing w:after="0"/>
            </w:pPr>
            <w:r>
              <w:rPr>
                <w:rFonts w:ascii="Courier New" w:hAnsi="Courier New"/>
                <w:color w:val="1F2937"/>
                <w:sz w:val="16"/>
              </w:rPr>
              <w:t>1. fetch_submission()</w:t>
            </w:r>
          </w:p>
          <w:p>
            <w:pPr>
              <w:spacing w:after="0"/>
            </w:pPr>
            <w:r>
              <w:rPr>
                <w:rFonts w:ascii="Courier New" w:hAnsi="Courier New"/>
                <w:color w:val="1F2937"/>
                <w:sz w:val="16"/>
              </w:rPr>
              <w:t>2. fetch_answer_key()</w:t>
            </w:r>
          </w:p>
          <w:p>
            <w:pPr>
              <w:spacing w:after="0"/>
            </w:pPr>
            <w:r>
              <w:rPr>
                <w:rFonts w:ascii="Courier New" w:hAnsi="Courier New"/>
                <w:color w:val="1F2937"/>
                <w:sz w:val="16"/>
              </w:rPr>
              <w:t>3. validate_format()</w:t>
            </w:r>
          </w:p>
          <w:p>
            <w:pPr>
              <w:spacing w:after="0"/>
            </w:pPr>
            <w:r>
              <w:rPr>
                <w:rFonts w:ascii="Courier New" w:hAnsi="Courier New"/>
                <w:color w:val="1F2937"/>
                <w:sz w:val="16"/>
              </w:rPr>
              <w:t>4. Compare student work semantically against answer key</w:t>
            </w:r>
          </w:p>
          <w:p>
            <w:pPr>
              <w:spacing w:after="0"/>
            </w:pPr>
            <w:r>
              <w:rPr>
                <w:rFonts w:ascii="Courier New" w:hAnsi="Courier New"/>
                <w:color w:val="1F2937"/>
                <w:sz w:val="16"/>
              </w:rPr>
              <w:t>5. finalize_grade(grade, feedback, escalate, confidence)</w:t>
            </w:r>
          </w:p>
          <w:p>
            <w:pPr>
              <w:spacing w:after="0"/>
            </w:pPr>
            <w:r>
              <w:rPr>
                <w:rFonts w:ascii="Courier New" w:hAnsi="Courier New"/>
                <w:color w:val="1F2937"/>
                <w:sz w:val="16"/>
              </w:rPr>
              <w:t>6. If confidence is low or borderline:</w:t>
            </w:r>
          </w:p>
          <w:p>
            <w:pPr>
              <w:spacing w:after="0"/>
            </w:pPr>
            <w:r>
              <w:rPr>
                <w:rFonts w:ascii="Courier New" w:hAnsi="Courier New"/>
                <w:color w:val="1F2937"/>
                <w:sz w:val="16"/>
              </w:rPr>
              <w:t xml:space="preserve">      validate_with_python()</w:t>
            </w:r>
          </w:p>
          <w:p>
            <w:pPr>
              <w:spacing w:after="0"/>
            </w:pPr>
            <w:r>
              <w:rPr>
                <w:rFonts w:ascii="Courier New" w:hAnsi="Courier New"/>
                <w:color w:val="1F2937"/>
                <w:sz w:val="16"/>
              </w:rPr>
              <w:t>7. Python hybrid runs in shadow mode for grade-delta comparison</w:t>
            </w:r>
          </w:p>
        </w:tc>
      </w:tr>
    </w:tbl>
    <w:p>
      <w:pPr>
        <w:spacing w:after="100"/>
      </w:pP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rFonts w:ascii="Arial" w:hAnsi="Arial"/>
                <w:b/>
                <w:color w:val="FFFFFF"/>
                <w:sz w:val="16"/>
              </w:rPr>
              <w:t>AI capability</w:t>
            </w:r>
          </w:p>
        </w:tc>
        <w:tc>
          <w:tcPr>
            <w:tcW w:type="dxa" w:w="3024"/>
            <w:shd w:fill="1F4E79"/>
            <w:vAlign w:val="center"/>
          </w:tcPr>
          <w:p>
            <w:r/>
            <w:r>
              <w:rPr>
                <w:rFonts w:ascii="Arial" w:hAnsi="Arial"/>
                <w:b/>
                <w:color w:val="FFFFFF"/>
                <w:sz w:val="16"/>
              </w:rPr>
              <w:t>Current status</w:t>
            </w:r>
          </w:p>
        </w:tc>
        <w:tc>
          <w:tcPr>
            <w:tcW w:type="dxa" w:w="4320"/>
            <w:shd w:fill="1F4E79"/>
            <w:vAlign w:val="center"/>
          </w:tcPr>
          <w:p>
            <w:r/>
            <w:r>
              <w:rPr>
                <w:rFonts w:ascii="Arial" w:hAnsi="Arial"/>
                <w:b/>
                <w:color w:val="FFFFFF"/>
                <w:sz w:val="16"/>
              </w:rPr>
              <w:t>Enterprise interpretation</w:t>
            </w:r>
          </w:p>
        </w:tc>
      </w:tr>
      <w:tr>
        <w:tc>
          <w:tcPr>
            <w:tcW w:type="dxa" w:w="2160"/>
            <w:vAlign w:val="top"/>
          </w:tcPr>
          <w:p>
            <w:r/>
            <w:r>
              <w:rPr>
                <w:rFonts w:ascii="Arial" w:hAnsi="Arial"/>
                <w:b w:val="0"/>
                <w:sz w:val="16"/>
              </w:rPr>
              <w:t>Semantic grading</w:t>
            </w:r>
          </w:p>
        </w:tc>
        <w:tc>
          <w:tcPr>
            <w:tcW w:type="dxa" w:w="3024"/>
            <w:vAlign w:val="top"/>
          </w:tcPr>
          <w:p>
            <w:r/>
            <w:r>
              <w:rPr>
                <w:rFonts w:ascii="Arial" w:hAnsi="Arial"/>
                <w:b w:val="0"/>
                <w:sz w:val="16"/>
              </w:rPr>
              <w:t>Available in testing agent</w:t>
            </w:r>
          </w:p>
        </w:tc>
        <w:tc>
          <w:tcPr>
            <w:tcW w:type="dxa" w:w="4320"/>
            <w:vAlign w:val="top"/>
          </w:tcPr>
          <w:p>
            <w:r/>
            <w:r>
              <w:rPr>
                <w:rFonts w:ascii="Arial" w:hAnsi="Arial"/>
                <w:b w:val="0"/>
                <w:sz w:val="16"/>
              </w:rPr>
              <w:t>Useful for evaluating logic and feedback beyond keyword matching</w:t>
            </w:r>
          </w:p>
        </w:tc>
      </w:tr>
      <w:tr>
        <w:tc>
          <w:tcPr>
            <w:tcW w:type="dxa" w:w="2160"/>
            <w:vAlign w:val="top"/>
          </w:tcPr>
          <w:p>
            <w:r/>
            <w:r>
              <w:rPr>
                <w:rFonts w:ascii="Arial" w:hAnsi="Arial"/>
                <w:b w:val="0"/>
                <w:sz w:val="16"/>
              </w:rPr>
              <w:t>Tool-use workflow</w:t>
            </w:r>
          </w:p>
        </w:tc>
        <w:tc>
          <w:tcPr>
            <w:tcW w:type="dxa" w:w="3024"/>
            <w:vAlign w:val="top"/>
          </w:tcPr>
          <w:p>
            <w:r/>
            <w:r>
              <w:rPr>
                <w:rFonts w:ascii="Arial" w:hAnsi="Arial"/>
                <w:b w:val="0"/>
                <w:sz w:val="16"/>
              </w:rPr>
              <w:t>Testing branch has fetch, validate, finalize tools</w:t>
            </w:r>
          </w:p>
        </w:tc>
        <w:tc>
          <w:tcPr>
            <w:tcW w:type="dxa" w:w="4320"/>
            <w:vAlign w:val="top"/>
          </w:tcPr>
          <w:p>
            <w:r/>
            <w:r>
              <w:rPr>
                <w:rFonts w:ascii="Arial" w:hAnsi="Arial"/>
                <w:b w:val="0"/>
                <w:sz w:val="16"/>
              </w:rPr>
              <w:t>Creates a more controlled AI workflow than free-form prompting</w:t>
            </w:r>
          </w:p>
        </w:tc>
      </w:tr>
      <w:tr>
        <w:tc>
          <w:tcPr>
            <w:tcW w:type="dxa" w:w="2160"/>
            <w:vAlign w:val="top"/>
          </w:tcPr>
          <w:p>
            <w:r/>
            <w:r>
              <w:rPr>
                <w:rFonts w:ascii="Arial" w:hAnsi="Arial"/>
                <w:b w:val="0"/>
                <w:sz w:val="16"/>
              </w:rPr>
              <w:t>Confidence score</w:t>
            </w:r>
          </w:p>
        </w:tc>
        <w:tc>
          <w:tcPr>
            <w:tcW w:type="dxa" w:w="3024"/>
            <w:vAlign w:val="top"/>
          </w:tcPr>
          <w:p>
            <w:r/>
            <w:r>
              <w:rPr>
                <w:rFonts w:ascii="Arial" w:hAnsi="Arial"/>
                <w:b w:val="0"/>
                <w:sz w:val="16"/>
              </w:rPr>
              <w:t>Agent requires confidence in finalize_grade</w:t>
            </w:r>
          </w:p>
        </w:tc>
        <w:tc>
          <w:tcPr>
            <w:tcW w:type="dxa" w:w="4320"/>
            <w:vAlign w:val="top"/>
          </w:tcPr>
          <w:p>
            <w:r/>
            <w:r>
              <w:rPr>
                <w:rFonts w:ascii="Arial" w:hAnsi="Arial"/>
                <w:b w:val="0"/>
                <w:sz w:val="16"/>
              </w:rPr>
              <w:t>Should become a stored metric and routing control</w:t>
            </w:r>
          </w:p>
        </w:tc>
      </w:tr>
      <w:tr>
        <w:tc>
          <w:tcPr>
            <w:tcW w:type="dxa" w:w="2160"/>
            <w:vAlign w:val="top"/>
          </w:tcPr>
          <w:p>
            <w:r/>
            <w:r>
              <w:rPr>
                <w:rFonts w:ascii="Arial" w:hAnsi="Arial"/>
                <w:b w:val="0"/>
                <w:sz w:val="16"/>
              </w:rPr>
              <w:t>Python validation fallback</w:t>
            </w:r>
          </w:p>
        </w:tc>
        <w:tc>
          <w:tcPr>
            <w:tcW w:type="dxa" w:w="3024"/>
            <w:vAlign w:val="top"/>
          </w:tcPr>
          <w:p>
            <w:r/>
            <w:r>
              <w:rPr>
                <w:rFonts w:ascii="Arial" w:hAnsi="Arial"/>
                <w:b w:val="0"/>
                <w:sz w:val="16"/>
              </w:rPr>
              <w:t>Agent can call Python validation when confidence is low</w:t>
            </w:r>
          </w:p>
        </w:tc>
        <w:tc>
          <w:tcPr>
            <w:tcW w:type="dxa" w:w="4320"/>
            <w:vAlign w:val="top"/>
          </w:tcPr>
          <w:p>
            <w:r/>
            <w:r>
              <w:rPr>
                <w:rFonts w:ascii="Arial" w:hAnsi="Arial"/>
                <w:b w:val="0"/>
                <w:sz w:val="16"/>
              </w:rPr>
              <w:t>Good safety pattern for human-in-the-loop grading</w:t>
            </w:r>
          </w:p>
        </w:tc>
      </w:tr>
      <w:tr>
        <w:tc>
          <w:tcPr>
            <w:tcW w:type="dxa" w:w="2160"/>
            <w:vAlign w:val="top"/>
          </w:tcPr>
          <w:p>
            <w:r/>
            <w:r>
              <w:rPr>
                <w:rFonts w:ascii="Arial" w:hAnsi="Arial"/>
                <w:b w:val="0"/>
                <w:sz w:val="16"/>
              </w:rPr>
              <w:t>Benchmarking</w:t>
            </w:r>
          </w:p>
        </w:tc>
        <w:tc>
          <w:tcPr>
            <w:tcW w:type="dxa" w:w="3024"/>
            <w:vAlign w:val="top"/>
          </w:tcPr>
          <w:p>
            <w:r/>
            <w:r>
              <w:rPr>
                <w:rFonts w:ascii="Arial" w:hAnsi="Arial"/>
                <w:b w:val="0"/>
                <w:sz w:val="16"/>
              </w:rPr>
              <w:t>Latest recorded benchmark is small and below readiness target</w:t>
            </w:r>
          </w:p>
        </w:tc>
        <w:tc>
          <w:tcPr>
            <w:tcW w:type="dxa" w:w="4320"/>
            <w:vAlign w:val="top"/>
          </w:tcPr>
          <w:p>
            <w:r/>
            <w:r>
              <w:rPr>
                <w:rFonts w:ascii="Arial" w:hAnsi="Arial"/>
                <w:b w:val="0"/>
                <w:sz w:val="16"/>
              </w:rPr>
              <w:t>Needs expansion before production promotion</w:t>
            </w:r>
          </w:p>
        </w:tc>
      </w:tr>
    </w:tbl>
    <w:p>
      <w:pPr>
        <w:spacing w:after="100"/>
      </w:pPr>
    </w:p>
    <w:p>
      <w:pPr>
        <w:spacing w:after="100"/>
      </w:pPr>
      <w:r>
        <w:br w:type="page"/>
      </w:r>
    </w:p>
    <w:p>
      <w:pPr>
        <w:pStyle w:val="Heading1"/>
        <w:spacing w:after="80" w:before="160"/>
      </w:pPr>
      <w:r>
        <w:t>5. Database Interactions</w:t>
      </w:r>
    </w:p>
    <w:p>
      <w:pPr>
        <w:pStyle w:val="Heading2"/>
        <w:spacing w:after="80" w:before="160"/>
      </w:pPr>
      <w:r>
        <w:t>Current database pattern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1F4E79"/>
            <w:vAlign w:val="center"/>
          </w:tcPr>
          <w:p>
            <w:r/>
            <w:r>
              <w:rPr>
                <w:rFonts w:ascii="Arial" w:hAnsi="Arial"/>
                <w:b/>
                <w:color w:val="FFFFFF"/>
                <w:sz w:val="16"/>
              </w:rPr>
              <w:t>Environment</w:t>
            </w:r>
          </w:p>
        </w:tc>
        <w:tc>
          <w:tcPr>
            <w:tcW w:type="dxa" w:w="2592"/>
            <w:shd w:fill="1F4E79"/>
            <w:vAlign w:val="center"/>
          </w:tcPr>
          <w:p>
            <w:r/>
            <w:r>
              <w:rPr>
                <w:rFonts w:ascii="Arial" w:hAnsi="Arial"/>
                <w:b/>
                <w:color w:val="FFFFFF"/>
                <w:sz w:val="16"/>
              </w:rPr>
              <w:t>Read source</w:t>
            </w:r>
          </w:p>
        </w:tc>
        <w:tc>
          <w:tcPr>
            <w:tcW w:type="dxa" w:w="3456"/>
            <w:shd w:fill="1F4E79"/>
            <w:vAlign w:val="center"/>
          </w:tcPr>
          <w:p>
            <w:r/>
            <w:r>
              <w:rPr>
                <w:rFonts w:ascii="Arial" w:hAnsi="Arial"/>
                <w:b/>
                <w:color w:val="FFFFFF"/>
                <w:sz w:val="16"/>
              </w:rPr>
              <w:t>Write target</w:t>
            </w:r>
          </w:p>
        </w:tc>
        <w:tc>
          <w:tcPr>
            <w:tcW w:type="dxa" w:w="3456"/>
            <w:shd w:fill="1F4E79"/>
            <w:vAlign w:val="center"/>
          </w:tcPr>
          <w:p>
            <w:r/>
            <w:r>
              <w:rPr>
                <w:rFonts w:ascii="Arial" w:hAnsi="Arial"/>
                <w:b/>
                <w:color w:val="FFFFFF"/>
                <w:sz w:val="16"/>
              </w:rPr>
              <w:t>Purpose</w:t>
            </w:r>
          </w:p>
        </w:tc>
      </w:tr>
      <w:tr>
        <w:tc>
          <w:tcPr>
            <w:tcW w:type="dxa" w:w="1440"/>
            <w:vAlign w:val="top"/>
          </w:tcPr>
          <w:p>
            <w:r/>
            <w:r>
              <w:rPr>
                <w:rFonts w:ascii="Arial" w:hAnsi="Arial"/>
                <w:b w:val="0"/>
                <w:sz w:val="16"/>
              </w:rPr>
              <w:t>Production</w:t>
            </w:r>
          </w:p>
        </w:tc>
        <w:tc>
          <w:tcPr>
            <w:tcW w:type="dxa" w:w="2592"/>
            <w:vAlign w:val="top"/>
          </w:tcPr>
          <w:p>
            <w:r/>
            <w:r>
              <w:rPr>
                <w:rFonts w:ascii="Arial" w:hAnsi="Arial"/>
                <w:b w:val="0"/>
                <w:sz w:val="16"/>
              </w:rPr>
              <w:t>vw_Homework</w:t>
            </w:r>
          </w:p>
        </w:tc>
        <w:tc>
          <w:tcPr>
            <w:tcW w:type="dxa" w:w="3456"/>
            <w:vAlign w:val="top"/>
          </w:tcPr>
          <w:p>
            <w:r/>
            <w:r>
              <w:rPr>
                <w:rFonts w:ascii="Arial" w:hAnsi="Arial"/>
                <w:b w:val="0"/>
                <w:sz w:val="16"/>
              </w:rPr>
              <w:t>ADF_dbo.Homework</w:t>
            </w:r>
          </w:p>
        </w:tc>
        <w:tc>
          <w:tcPr>
            <w:tcW w:type="dxa" w:w="3456"/>
            <w:vAlign w:val="top"/>
          </w:tcPr>
          <w:p>
            <w:r/>
            <w:r>
              <w:rPr>
                <w:rFonts w:ascii="Arial" w:hAnsi="Arial"/>
                <w:b w:val="0"/>
                <w:sz w:val="16"/>
              </w:rPr>
              <w:t>Store graded passing/accepted homework results</w:t>
            </w:r>
          </w:p>
        </w:tc>
      </w:tr>
      <w:tr>
        <w:tc>
          <w:tcPr>
            <w:tcW w:type="dxa" w:w="1440"/>
            <w:vAlign w:val="top"/>
          </w:tcPr>
          <w:p>
            <w:r/>
            <w:r>
              <w:rPr>
                <w:rFonts w:ascii="Arial" w:hAnsi="Arial"/>
                <w:b w:val="0"/>
                <w:sz w:val="16"/>
              </w:rPr>
              <w:t>Production</w:t>
            </w:r>
          </w:p>
        </w:tc>
        <w:tc>
          <w:tcPr>
            <w:tcW w:type="dxa" w:w="2592"/>
            <w:vAlign w:val="top"/>
          </w:tcPr>
          <w:p>
            <w:r/>
            <w:r>
              <w:rPr>
                <w:rFonts w:ascii="Arial" w:hAnsi="Arial"/>
                <w:b w:val="0"/>
                <w:sz w:val="16"/>
              </w:rPr>
              <w:t>vw_Homework</w:t>
            </w:r>
          </w:p>
        </w:tc>
        <w:tc>
          <w:tcPr>
            <w:tcW w:type="dxa" w:w="3456"/>
            <w:vAlign w:val="top"/>
          </w:tcPr>
          <w:p>
            <w:r/>
            <w:r>
              <w:rPr>
                <w:rFonts w:ascii="Arial" w:hAnsi="Arial"/>
                <w:b w:val="0"/>
                <w:sz w:val="16"/>
              </w:rPr>
              <w:t>ADF_Homework_Autograder_Rejects</w:t>
            </w:r>
          </w:p>
        </w:tc>
        <w:tc>
          <w:tcPr>
            <w:tcW w:type="dxa" w:w="3456"/>
            <w:vAlign w:val="top"/>
          </w:tcPr>
          <w:p>
            <w:r/>
            <w:r>
              <w:rPr>
                <w:rFonts w:ascii="Arial" w:hAnsi="Arial"/>
                <w:b w:val="0"/>
                <w:sz w:val="16"/>
              </w:rPr>
              <w:t>Store rejected/manual-review homework rows</w:t>
            </w:r>
          </w:p>
        </w:tc>
      </w:tr>
      <w:tr>
        <w:tc>
          <w:tcPr>
            <w:tcW w:type="dxa" w:w="1440"/>
            <w:vAlign w:val="top"/>
          </w:tcPr>
          <w:p>
            <w:r/>
            <w:r>
              <w:rPr>
                <w:rFonts w:ascii="Arial" w:hAnsi="Arial"/>
                <w:b w:val="0"/>
                <w:sz w:val="16"/>
              </w:rPr>
              <w:t>Testing</w:t>
            </w:r>
          </w:p>
        </w:tc>
        <w:tc>
          <w:tcPr>
            <w:tcW w:type="dxa" w:w="2592"/>
            <w:vAlign w:val="top"/>
          </w:tcPr>
          <w:p>
            <w:r/>
            <w:r>
              <w:rPr>
                <w:rFonts w:ascii="Arial" w:hAnsi="Arial"/>
                <w:b w:val="0"/>
                <w:sz w:val="16"/>
              </w:rPr>
              <w:t>vw_Homework or ADF_Homework_test</w:t>
            </w:r>
          </w:p>
        </w:tc>
        <w:tc>
          <w:tcPr>
            <w:tcW w:type="dxa" w:w="3456"/>
            <w:vAlign w:val="top"/>
          </w:tcPr>
          <w:p>
            <w:r/>
            <w:r>
              <w:rPr>
                <w:rFonts w:ascii="Arial" w:hAnsi="Arial"/>
                <w:b w:val="0"/>
                <w:sz w:val="16"/>
              </w:rPr>
              <w:t>ADF_Homework_test</w:t>
            </w:r>
          </w:p>
        </w:tc>
        <w:tc>
          <w:tcPr>
            <w:tcW w:type="dxa" w:w="3456"/>
            <w:vAlign w:val="top"/>
          </w:tcPr>
          <w:p>
            <w:r/>
            <w:r>
              <w:rPr>
                <w:rFonts w:ascii="Arial" w:hAnsi="Arial"/>
                <w:b w:val="0"/>
                <w:sz w:val="16"/>
              </w:rPr>
              <w:t>Controlled test write table for validation</w:t>
            </w:r>
          </w:p>
        </w:tc>
      </w:tr>
      <w:tr>
        <w:tc>
          <w:tcPr>
            <w:tcW w:type="dxa" w:w="1440"/>
            <w:vAlign w:val="top"/>
          </w:tcPr>
          <w:p>
            <w:r/>
            <w:r>
              <w:rPr>
                <w:rFonts w:ascii="Arial" w:hAnsi="Arial"/>
                <w:b w:val="0"/>
                <w:sz w:val="16"/>
              </w:rPr>
              <w:t>Testing</w:t>
            </w:r>
          </w:p>
        </w:tc>
        <w:tc>
          <w:tcPr>
            <w:tcW w:type="dxa" w:w="2592"/>
            <w:vAlign w:val="top"/>
          </w:tcPr>
          <w:p>
            <w:r/>
            <w:r>
              <w:rPr>
                <w:rFonts w:ascii="Arial" w:hAnsi="Arial"/>
                <w:b w:val="0"/>
                <w:sz w:val="16"/>
              </w:rPr>
              <w:t>vw_Homework or ADF_Homework_test</w:t>
            </w:r>
          </w:p>
        </w:tc>
        <w:tc>
          <w:tcPr>
            <w:tcW w:type="dxa" w:w="3456"/>
            <w:vAlign w:val="top"/>
          </w:tcPr>
          <w:p>
            <w:r/>
            <w:r>
              <w:rPr>
                <w:rFonts w:ascii="Arial" w:hAnsi="Arial"/>
                <w:b w:val="0"/>
                <w:sz w:val="16"/>
              </w:rPr>
              <w:t>ADF_Homework_Autograder_Rejects_test</w:t>
            </w:r>
          </w:p>
        </w:tc>
        <w:tc>
          <w:tcPr>
            <w:tcW w:type="dxa" w:w="3456"/>
            <w:vAlign w:val="top"/>
          </w:tcPr>
          <w:p>
            <w:r/>
            <w:r>
              <w:rPr>
                <w:rFonts w:ascii="Arial" w:hAnsi="Arial"/>
                <w:b w:val="0"/>
                <w:sz w:val="16"/>
              </w:rPr>
              <w:t>Controlled reject queue for testing</w:t>
            </w:r>
          </w:p>
        </w:tc>
      </w:tr>
    </w:tbl>
    <w:p>
      <w:pPr>
        <w:spacing w:after="100"/>
      </w:pPr>
    </w:p>
    <w:p>
      <w:pPr>
        <w:pStyle w:val="Heading2"/>
        <w:spacing w:after="80" w:before="160"/>
      </w:pPr>
      <w:r>
        <w:t>Important stored fields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rFonts w:ascii="Arial" w:hAnsi="Arial"/>
                <w:b/>
                <w:color w:val="FFFFFF"/>
                <w:sz w:val="16"/>
              </w:rPr>
              <w:t>Field group</w:t>
            </w:r>
          </w:p>
        </w:tc>
        <w:tc>
          <w:tcPr>
            <w:tcW w:type="dxa" w:w="3888"/>
            <w:shd w:fill="1F4E79"/>
            <w:vAlign w:val="center"/>
          </w:tcPr>
          <w:p>
            <w:r/>
            <w:r>
              <w:rPr>
                <w:rFonts w:ascii="Arial" w:hAnsi="Arial"/>
                <w:b/>
                <w:color w:val="FFFFFF"/>
                <w:sz w:val="16"/>
              </w:rPr>
              <w:t>Examples</w:t>
            </w:r>
          </w:p>
        </w:tc>
        <w:tc>
          <w:tcPr>
            <w:tcW w:type="dxa" w:w="3600"/>
            <w:shd w:fill="1F4E79"/>
            <w:vAlign w:val="center"/>
          </w:tcPr>
          <w:p>
            <w:r/>
            <w:r>
              <w:rPr>
                <w:rFonts w:ascii="Arial" w:hAnsi="Arial"/>
                <w:b/>
                <w:color w:val="FFFFFF"/>
                <w:sz w:val="16"/>
              </w:rPr>
              <w:t>Dashboard use</w:t>
            </w:r>
          </w:p>
        </w:tc>
      </w:tr>
      <w:tr>
        <w:tc>
          <w:tcPr>
            <w:tcW w:type="dxa" w:w="2160"/>
            <w:vAlign w:val="top"/>
          </w:tcPr>
          <w:p>
            <w:r/>
            <w:r>
              <w:rPr>
                <w:rFonts w:ascii="Arial" w:hAnsi="Arial"/>
                <w:b w:val="0"/>
                <w:sz w:val="16"/>
              </w:rPr>
              <w:t>Submission identity</w:t>
            </w:r>
          </w:p>
        </w:tc>
        <w:tc>
          <w:tcPr>
            <w:tcW w:type="dxa" w:w="3888"/>
            <w:vAlign w:val="top"/>
          </w:tcPr>
          <w:p>
            <w:r/>
            <w:r>
              <w:rPr>
                <w:rFonts w:ascii="Arial" w:hAnsi="Arial"/>
                <w:b w:val="0"/>
                <w:sz w:val="16"/>
              </w:rPr>
              <w:t>HomeworkID, ClassSignupsID, SectionID, StudentUserID</w:t>
            </w:r>
          </w:p>
        </w:tc>
        <w:tc>
          <w:tcPr>
            <w:tcW w:type="dxa" w:w="3600"/>
            <w:vAlign w:val="top"/>
          </w:tcPr>
          <w:p>
            <w:r/>
            <w:r>
              <w:rPr>
                <w:rFonts w:ascii="Arial" w:hAnsi="Arial"/>
                <w:b w:val="0"/>
                <w:sz w:val="16"/>
              </w:rPr>
              <w:t>Student, section, and assignment slicing</w:t>
            </w:r>
          </w:p>
        </w:tc>
      </w:tr>
      <w:tr>
        <w:tc>
          <w:tcPr>
            <w:tcW w:type="dxa" w:w="2160"/>
            <w:vAlign w:val="top"/>
          </w:tcPr>
          <w:p>
            <w:r/>
            <w:r>
              <w:rPr>
                <w:rFonts w:ascii="Arial" w:hAnsi="Arial"/>
                <w:b w:val="0"/>
                <w:sz w:val="16"/>
              </w:rPr>
              <w:t>Submission content</w:t>
            </w:r>
          </w:p>
        </w:tc>
        <w:tc>
          <w:tcPr>
            <w:tcW w:type="dxa" w:w="3888"/>
            <w:vAlign w:val="top"/>
          </w:tcPr>
          <w:p>
            <w:r/>
            <w:r>
              <w:rPr>
                <w:rFonts w:ascii="Arial" w:hAnsi="Arial"/>
                <w:b w:val="0"/>
                <w:sz w:val="16"/>
              </w:rPr>
              <w:t>HomeworkLink, AnswerKey</w:t>
            </w:r>
          </w:p>
        </w:tc>
        <w:tc>
          <w:tcPr>
            <w:tcW w:type="dxa" w:w="3600"/>
            <w:vAlign w:val="top"/>
          </w:tcPr>
          <w:p>
            <w:r/>
            <w:r>
              <w:rPr>
                <w:rFonts w:ascii="Arial" w:hAnsi="Arial"/>
                <w:b w:val="0"/>
                <w:sz w:val="16"/>
              </w:rPr>
              <w:t>Traceability and review support</w:t>
            </w:r>
          </w:p>
        </w:tc>
      </w:tr>
      <w:tr>
        <w:tc>
          <w:tcPr>
            <w:tcW w:type="dxa" w:w="2160"/>
            <w:vAlign w:val="top"/>
          </w:tcPr>
          <w:p>
            <w:r/>
            <w:r>
              <w:rPr>
                <w:rFonts w:ascii="Arial" w:hAnsi="Arial"/>
                <w:b w:val="0"/>
                <w:sz w:val="16"/>
              </w:rPr>
              <w:t>Grade output</w:t>
            </w:r>
          </w:p>
        </w:tc>
        <w:tc>
          <w:tcPr>
            <w:tcW w:type="dxa" w:w="3888"/>
            <w:vAlign w:val="top"/>
          </w:tcPr>
          <w:p>
            <w:r/>
            <w:r>
              <w:rPr>
                <w:rFonts w:ascii="Arial" w:hAnsi="Arial"/>
                <w:b w:val="0"/>
                <w:sz w:val="16"/>
              </w:rPr>
              <w:t>Instr_Rating, Instr_Comments, Feedback</w:t>
            </w:r>
          </w:p>
        </w:tc>
        <w:tc>
          <w:tcPr>
            <w:tcW w:type="dxa" w:w="3600"/>
            <w:vAlign w:val="top"/>
          </w:tcPr>
          <w:p>
            <w:r/>
            <w:r>
              <w:rPr>
                <w:rFonts w:ascii="Arial" w:hAnsi="Arial"/>
                <w:b w:val="0"/>
                <w:sz w:val="16"/>
              </w:rPr>
              <w:t>Grade distribution and feedback quality monitoring</w:t>
            </w:r>
          </w:p>
        </w:tc>
      </w:tr>
      <w:tr>
        <w:tc>
          <w:tcPr>
            <w:tcW w:type="dxa" w:w="2160"/>
            <w:vAlign w:val="top"/>
          </w:tcPr>
          <w:p>
            <w:r/>
            <w:r>
              <w:rPr>
                <w:rFonts w:ascii="Arial" w:hAnsi="Arial"/>
                <w:b w:val="0"/>
                <w:sz w:val="16"/>
              </w:rPr>
              <w:t>Routing output</w:t>
            </w:r>
          </w:p>
        </w:tc>
        <w:tc>
          <w:tcPr>
            <w:tcW w:type="dxa" w:w="3888"/>
            <w:vAlign w:val="top"/>
          </w:tcPr>
          <w:p>
            <w:r/>
            <w:r>
              <w:rPr>
                <w:rFonts w:ascii="Arial" w:hAnsi="Arial"/>
                <w:b w:val="0"/>
                <w:sz w:val="16"/>
              </w:rPr>
              <w:t>EscalateFlag, EscalationReason, GradingSource</w:t>
            </w:r>
          </w:p>
        </w:tc>
        <w:tc>
          <w:tcPr>
            <w:tcW w:type="dxa" w:w="3600"/>
            <w:vAlign w:val="top"/>
          </w:tcPr>
          <w:p>
            <w:r/>
            <w:r>
              <w:rPr>
                <w:rFonts w:ascii="Arial" w:hAnsi="Arial"/>
                <w:b w:val="0"/>
                <w:sz w:val="16"/>
              </w:rPr>
              <w:t>Escalation rate, reason mix, automation rate</w:t>
            </w:r>
          </w:p>
        </w:tc>
      </w:tr>
      <w:tr>
        <w:tc>
          <w:tcPr>
            <w:tcW w:type="dxa" w:w="2160"/>
            <w:vAlign w:val="top"/>
          </w:tcPr>
          <w:p>
            <w:r/>
            <w:r>
              <w:rPr>
                <w:rFonts w:ascii="Arial" w:hAnsi="Arial"/>
                <w:b w:val="0"/>
                <w:sz w:val="16"/>
              </w:rPr>
              <w:t>Processing timestamp</w:t>
            </w:r>
          </w:p>
        </w:tc>
        <w:tc>
          <w:tcPr>
            <w:tcW w:type="dxa" w:w="3888"/>
            <w:vAlign w:val="top"/>
          </w:tcPr>
          <w:p>
            <w:r/>
            <w:r>
              <w:rPr>
                <w:rFonts w:ascii="Arial" w:hAnsi="Arial"/>
                <w:b w:val="0"/>
                <w:sz w:val="16"/>
              </w:rPr>
              <w:t>DateProcessed</w:t>
            </w:r>
          </w:p>
        </w:tc>
        <w:tc>
          <w:tcPr>
            <w:tcW w:type="dxa" w:w="3600"/>
            <w:vAlign w:val="top"/>
          </w:tcPr>
          <w:p>
            <w:r/>
            <w:r>
              <w:rPr>
                <w:rFonts w:ascii="Arial" w:hAnsi="Arial"/>
                <w:b w:val="0"/>
                <w:sz w:val="16"/>
              </w:rPr>
              <w:t>Daily/weekly/monthly trend reporting</w:t>
            </w:r>
          </w:p>
        </w:tc>
      </w:tr>
    </w:tbl>
    <w:p>
      <w:pPr>
        <w:spacing w:after="100"/>
      </w:pPr>
    </w:p>
    <w:p>
      <w:pPr>
        <w:pStyle w:val="Heading2"/>
        <w:spacing w:after="80" w:before="160"/>
      </w:pPr>
      <w:r>
        <w:t>Recommended analytics model</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DimStudent</w:t>
            </w:r>
          </w:p>
          <w:p>
            <w:pPr>
              <w:spacing w:after="0"/>
            </w:pPr>
            <w:r>
              <w:rPr>
                <w:rFonts w:ascii="Courier New" w:hAnsi="Courier New"/>
                <w:color w:val="1F2937"/>
                <w:sz w:val="16"/>
              </w:rPr>
              <w:t>DimAssignment</w:t>
            </w:r>
          </w:p>
          <w:p>
            <w:pPr>
              <w:spacing w:after="0"/>
            </w:pPr>
            <w:r>
              <w:rPr>
                <w:rFonts w:ascii="Courier New" w:hAnsi="Courier New"/>
                <w:color w:val="1F2937"/>
                <w:sz w:val="16"/>
              </w:rPr>
              <w:t>DimSection</w:t>
            </w:r>
          </w:p>
          <w:p>
            <w:pPr>
              <w:spacing w:after="0"/>
            </w:pPr>
            <w:r>
              <w:rPr>
                <w:rFonts w:ascii="Courier New" w:hAnsi="Courier New"/>
                <w:color w:val="1F2937"/>
                <w:sz w:val="16"/>
              </w:rPr>
              <w:t>DimDate</w:t>
            </w:r>
          </w:p>
          <w:p>
            <w:pPr>
              <w:spacing w:after="0"/>
            </w:pPr>
            <w:r>
              <w:rPr>
                <w:rFonts w:ascii="Courier New" w:hAnsi="Courier New"/>
                <w:color w:val="1F2937"/>
                <w:sz w:val="16"/>
              </w:rPr>
              <w:t>DimGradingSource</w:t>
            </w:r>
          </w:p>
          <w:p>
            <w:pPr>
              <w:spacing w:after="0"/>
            </w:pPr>
            <w:r>
              <w:rPr>
                <w:rFonts w:ascii="Courier New" w:hAnsi="Courier New"/>
                <w:color w:val="1F2937"/>
                <w:sz w:val="16"/>
              </w:rPr>
              <w:t>DimEscalationReason</w:t>
            </w:r>
          </w:p>
          <w:p>
            <w:pPr>
              <w:spacing w:after="0"/>
            </w:pPr>
            <w:r>
              <w:rPr>
                <w:rFonts w:ascii="Courier New" w:hAnsi="Courier New"/>
                <w:color w:val="1F2937"/>
                <w:sz w:val="16"/>
              </w:rPr>
            </w:r>
          </w:p>
          <w:p>
            <w:pPr>
              <w:spacing w:after="0"/>
            </w:pPr>
            <w:r>
              <w:rPr>
                <w:rFonts w:ascii="Courier New" w:hAnsi="Courier New"/>
                <w:color w:val="1F2937"/>
                <w:sz w:val="16"/>
              </w:rPr>
              <w:t>FactSubmissionGrading</w:t>
            </w:r>
          </w:p>
          <w:p>
            <w:pPr>
              <w:spacing w:after="0"/>
            </w:pPr>
            <w:r>
              <w:rPr>
                <w:rFonts w:ascii="Courier New" w:hAnsi="Courier New"/>
                <w:color w:val="1F2937"/>
                <w:sz w:val="16"/>
              </w:rPr>
              <w:t>FactEscalation</w:t>
            </w:r>
          </w:p>
          <w:p>
            <w:pPr>
              <w:spacing w:after="0"/>
            </w:pPr>
            <w:r>
              <w:rPr>
                <w:rFonts w:ascii="Courier New" w:hAnsi="Courier New"/>
                <w:color w:val="1F2937"/>
                <w:sz w:val="16"/>
              </w:rPr>
              <w:t>FactEmailEvent</w:t>
            </w:r>
          </w:p>
          <w:p>
            <w:pPr>
              <w:spacing w:after="0"/>
            </w:pPr>
            <w:r>
              <w:rPr>
                <w:rFonts w:ascii="Courier New" w:hAnsi="Courier New"/>
                <w:color w:val="1F2937"/>
                <w:sz w:val="16"/>
              </w:rPr>
              <w:t>FactBenchmarkResult</w:t>
            </w:r>
          </w:p>
          <w:p>
            <w:pPr>
              <w:spacing w:after="0"/>
            </w:pPr>
            <w:r>
              <w:rPr>
                <w:rFonts w:ascii="Courier New" w:hAnsi="Courier New"/>
                <w:color w:val="1F2937"/>
                <w:sz w:val="16"/>
              </w:rPr>
              <w:t>FactManualReviewOutcome</w:t>
            </w:r>
          </w:p>
        </w:tc>
      </w:tr>
    </w:tbl>
    <w:p>
      <w:pPr>
        <w:spacing w:after="100"/>
      </w:pPr>
    </w:p>
    <w:p>
      <w:pPr>
        <w:spacing w:after="100"/>
      </w:pPr>
      <w:r>
        <w:rPr>
          <w:rFonts w:ascii="Arial" w:hAnsi="Arial"/>
        </w:rPr>
        <w:t>The current operational tables can support basic reporting, but the Power BI model should not directly depend on raw operational tables forever. A star schema will make KPI calculations cleaner and reduce report fragility.</w:t>
      </w:r>
    </w:p>
    <w:p>
      <w:pPr>
        <w:pStyle w:val="Heading1"/>
        <w:spacing w:after="80" w:before="160"/>
      </w:pPr>
      <w:r>
        <w:t>6. Business Logic</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r/>
            <w:r>
              <w:rPr>
                <w:rFonts w:ascii="Arial" w:hAnsi="Arial"/>
                <w:b/>
                <w:color w:val="FFFFFF"/>
                <w:sz w:val="16"/>
              </w:rPr>
              <w:t>Business rule</w:t>
            </w:r>
          </w:p>
        </w:tc>
        <w:tc>
          <w:tcPr>
            <w:tcW w:type="dxa" w:w="3600"/>
            <w:shd w:fill="1F4E79"/>
            <w:vAlign w:val="center"/>
          </w:tcPr>
          <w:p>
            <w:r/>
            <w:r>
              <w:rPr>
                <w:rFonts w:ascii="Arial" w:hAnsi="Arial"/>
                <w:b/>
                <w:color w:val="FFFFFF"/>
                <w:sz w:val="16"/>
              </w:rPr>
              <w:t>Technical implementation</w:t>
            </w:r>
          </w:p>
        </w:tc>
        <w:tc>
          <w:tcPr>
            <w:tcW w:type="dxa" w:w="3456"/>
            <w:shd w:fill="1F4E79"/>
            <w:vAlign w:val="center"/>
          </w:tcPr>
          <w:p>
            <w:r/>
            <w:r>
              <w:rPr>
                <w:rFonts w:ascii="Arial" w:hAnsi="Arial"/>
                <w:b/>
                <w:color w:val="FFFFFF"/>
                <w:sz w:val="16"/>
              </w:rPr>
              <w:t>Business value</w:t>
            </w:r>
          </w:p>
        </w:tc>
      </w:tr>
      <w:tr>
        <w:tc>
          <w:tcPr>
            <w:tcW w:type="dxa" w:w="2880"/>
            <w:vAlign w:val="top"/>
          </w:tcPr>
          <w:p>
            <w:r/>
            <w:r>
              <w:rPr>
                <w:rFonts w:ascii="Arial" w:hAnsi="Arial"/>
                <w:b w:val="0"/>
                <w:sz w:val="16"/>
              </w:rPr>
              <w:t>Automate straightforward grading</w:t>
            </w:r>
          </w:p>
        </w:tc>
        <w:tc>
          <w:tcPr>
            <w:tcW w:type="dxa" w:w="3600"/>
            <w:vAlign w:val="top"/>
          </w:tcPr>
          <w:p>
            <w:r/>
            <w:r>
              <w:rPr>
                <w:rFonts w:ascii="Arial" w:hAnsi="Arial"/>
                <w:b w:val="0"/>
                <w:sz w:val="16"/>
              </w:rPr>
              <w:t>Python/AI grading calculates grade and feedback</w:t>
            </w:r>
          </w:p>
        </w:tc>
        <w:tc>
          <w:tcPr>
            <w:tcW w:type="dxa" w:w="3456"/>
            <w:vAlign w:val="top"/>
          </w:tcPr>
          <w:p>
            <w:r/>
            <w:r>
              <w:rPr>
                <w:rFonts w:ascii="Arial" w:hAnsi="Arial"/>
                <w:b w:val="0"/>
                <w:sz w:val="16"/>
              </w:rPr>
              <w:t>Reduces instructor workload and turnaround time</w:t>
            </w:r>
          </w:p>
        </w:tc>
      </w:tr>
      <w:tr>
        <w:tc>
          <w:tcPr>
            <w:tcW w:type="dxa" w:w="2880"/>
            <w:vAlign w:val="top"/>
          </w:tcPr>
          <w:p>
            <w:r/>
            <w:r>
              <w:rPr>
                <w:rFonts w:ascii="Arial" w:hAnsi="Arial"/>
                <w:b w:val="0"/>
                <w:sz w:val="16"/>
              </w:rPr>
              <w:t>Do not auto-email risky grades</w:t>
            </w:r>
          </w:p>
        </w:tc>
        <w:tc>
          <w:tcPr>
            <w:tcW w:type="dxa" w:w="3600"/>
            <w:vAlign w:val="top"/>
          </w:tcPr>
          <w:p>
            <w:r/>
            <w:r>
              <w:rPr>
                <w:rFonts w:ascii="Arial" w:hAnsi="Arial"/>
                <w:b w:val="0"/>
                <w:sz w:val="16"/>
              </w:rPr>
              <w:t>Low grades and missing answer keys route to reject table</w:t>
            </w:r>
          </w:p>
        </w:tc>
        <w:tc>
          <w:tcPr>
            <w:tcW w:type="dxa" w:w="3456"/>
            <w:vAlign w:val="top"/>
          </w:tcPr>
          <w:p>
            <w:r/>
            <w:r>
              <w:rPr>
                <w:rFonts w:ascii="Arial" w:hAnsi="Arial"/>
                <w:b w:val="0"/>
                <w:sz w:val="16"/>
              </w:rPr>
              <w:t>Protects student experience and grading credibility</w:t>
            </w:r>
          </w:p>
        </w:tc>
      </w:tr>
      <w:tr>
        <w:tc>
          <w:tcPr>
            <w:tcW w:type="dxa" w:w="2880"/>
            <w:vAlign w:val="top"/>
          </w:tcPr>
          <w:p>
            <w:r/>
            <w:r>
              <w:rPr>
                <w:rFonts w:ascii="Arial" w:hAnsi="Arial"/>
                <w:b w:val="0"/>
                <w:sz w:val="16"/>
              </w:rPr>
              <w:t>Avoid duplicate escalation emails</w:t>
            </w:r>
          </w:p>
        </w:tc>
        <w:tc>
          <w:tcPr>
            <w:tcW w:type="dxa" w:w="3600"/>
            <w:vAlign w:val="top"/>
          </w:tcPr>
          <w:p>
            <w:r/>
            <w:r>
              <w:rPr>
                <w:rFonts w:ascii="Arial" w:hAnsi="Arial"/>
                <w:b w:val="0"/>
                <w:sz w:val="16"/>
              </w:rPr>
              <w:t>Reject insert/check controls whether escalation email is sent</w:t>
            </w:r>
          </w:p>
        </w:tc>
        <w:tc>
          <w:tcPr>
            <w:tcW w:type="dxa" w:w="3456"/>
            <w:vAlign w:val="top"/>
          </w:tcPr>
          <w:p>
            <w:r/>
            <w:r>
              <w:rPr>
                <w:rFonts w:ascii="Arial" w:hAnsi="Arial"/>
                <w:b w:val="0"/>
                <w:sz w:val="16"/>
              </w:rPr>
              <w:t>Prevents instructor spam and operational noise</w:t>
            </w:r>
          </w:p>
        </w:tc>
      </w:tr>
      <w:tr>
        <w:tc>
          <w:tcPr>
            <w:tcW w:type="dxa" w:w="2880"/>
            <w:vAlign w:val="top"/>
          </w:tcPr>
          <w:p>
            <w:r/>
            <w:r>
              <w:rPr>
                <w:rFonts w:ascii="Arial" w:hAnsi="Arial"/>
                <w:b w:val="0"/>
                <w:sz w:val="16"/>
              </w:rPr>
              <w:t>Compare AI vs Python before promotion</w:t>
            </w:r>
          </w:p>
        </w:tc>
        <w:tc>
          <w:tcPr>
            <w:tcW w:type="dxa" w:w="3600"/>
            <w:vAlign w:val="top"/>
          </w:tcPr>
          <w:p>
            <w:r/>
            <w:r>
              <w:rPr>
                <w:rFonts w:ascii="Arial" w:hAnsi="Arial"/>
                <w:b w:val="0"/>
                <w:sz w:val="16"/>
              </w:rPr>
              <w:t>Testing branch runs Python grader in shadow mode</w:t>
            </w:r>
          </w:p>
        </w:tc>
        <w:tc>
          <w:tcPr>
            <w:tcW w:type="dxa" w:w="3456"/>
            <w:vAlign w:val="top"/>
          </w:tcPr>
          <w:p>
            <w:r/>
            <w:r>
              <w:rPr>
                <w:rFonts w:ascii="Arial" w:hAnsi="Arial"/>
                <w:b w:val="0"/>
                <w:sz w:val="16"/>
              </w:rPr>
              <w:t>Enables safe AI validation before replacing deterministic logic</w:t>
            </w:r>
          </w:p>
        </w:tc>
      </w:tr>
      <w:tr>
        <w:tc>
          <w:tcPr>
            <w:tcW w:type="dxa" w:w="2880"/>
            <w:vAlign w:val="top"/>
          </w:tcPr>
          <w:p>
            <w:r/>
            <w:r>
              <w:rPr>
                <w:rFonts w:ascii="Arial" w:hAnsi="Arial"/>
                <w:b w:val="0"/>
                <w:sz w:val="16"/>
              </w:rPr>
              <w:t>Track grading source</w:t>
            </w:r>
          </w:p>
        </w:tc>
        <w:tc>
          <w:tcPr>
            <w:tcW w:type="dxa" w:w="3600"/>
            <w:vAlign w:val="top"/>
          </w:tcPr>
          <w:p>
            <w:r/>
            <w:r>
              <w:rPr>
                <w:rFonts w:ascii="Arial" w:hAnsi="Arial"/>
                <w:b w:val="0"/>
                <w:sz w:val="16"/>
              </w:rPr>
              <w:t>GradingSource is written with results</w:t>
            </w:r>
          </w:p>
        </w:tc>
        <w:tc>
          <w:tcPr>
            <w:tcW w:type="dxa" w:w="3456"/>
            <w:vAlign w:val="top"/>
          </w:tcPr>
          <w:p>
            <w:r/>
            <w:r>
              <w:rPr>
                <w:rFonts w:ascii="Arial" w:hAnsi="Arial"/>
                <w:b w:val="0"/>
                <w:sz w:val="16"/>
              </w:rPr>
              <w:t>Supports BI analysis of AI vs Python workload and quality</w:t>
            </w:r>
          </w:p>
        </w:tc>
      </w:tr>
      <w:tr>
        <w:tc>
          <w:tcPr>
            <w:tcW w:type="dxa" w:w="2880"/>
            <w:vAlign w:val="top"/>
          </w:tcPr>
          <w:p>
            <w:r/>
            <w:r>
              <w:rPr>
                <w:rFonts w:ascii="Arial" w:hAnsi="Arial"/>
                <w:b w:val="0"/>
                <w:sz w:val="16"/>
              </w:rPr>
              <w:t>Escalate repeated poor performance</w:t>
            </w:r>
          </w:p>
        </w:tc>
        <w:tc>
          <w:tcPr>
            <w:tcW w:type="dxa" w:w="3600"/>
            <w:vAlign w:val="top"/>
          </w:tcPr>
          <w:p>
            <w:r/>
            <w:r>
              <w:rPr>
                <w:rFonts w:ascii="Arial" w:hAnsi="Arial"/>
                <w:b w:val="0"/>
                <w:sz w:val="16"/>
              </w:rPr>
              <w:t>Performance-based escalation logic flags support needs</w:t>
            </w:r>
          </w:p>
        </w:tc>
        <w:tc>
          <w:tcPr>
            <w:tcW w:type="dxa" w:w="3456"/>
            <w:vAlign w:val="top"/>
          </w:tcPr>
          <w:p>
            <w:r/>
            <w:r>
              <w:rPr>
                <w:rFonts w:ascii="Arial" w:hAnsi="Arial"/>
                <w:b w:val="0"/>
                <w:sz w:val="16"/>
              </w:rPr>
              <w:t>Turns grading data into student intervention insight</w:t>
            </w:r>
          </w:p>
        </w:tc>
      </w:tr>
    </w:tbl>
    <w:p>
      <w:pPr>
        <w:spacing w:after="100"/>
      </w:pPr>
    </w:p>
    <w:tbl>
      <w:tblPr>
        <w:tblW w:type="auto" w:w="0"/>
        <w:jc w:val="center"/>
        <w:tblLook w:firstColumn="1" w:firstRow="1" w:lastColumn="0" w:lastRow="0" w:noHBand="0" w:noVBand="1" w:val="04A0"/>
      </w:tblPr>
      <w:tblGrid>
        <w:gridCol w:w="10224"/>
      </w:tblGrid>
      <w:tr>
        <w:tc>
          <w:tcPr>
            <w:tcW w:type="dxa" w:w="10224"/>
            <w:shd w:fill="EAF3F8"/>
            <w:tcBorders>
              <w:top w:sz="10" w:val="single" w:color="1F4E79"/>
              <w:left w:sz="10" w:val="single" w:color="1F4E79"/>
              <w:bottom w:sz="10" w:val="single" w:color="1F4E79"/>
              <w:right w:sz="10" w:val="single" w:color="1F4E79"/>
            </w:tcBorders>
          </w:tcPr>
          <w:p>
            <w:pPr>
              <w:spacing w:after="40"/>
            </w:pPr>
            <w:r/>
            <w:r>
              <w:rPr>
                <w:rFonts w:ascii="Arial" w:hAnsi="Arial"/>
                <w:b/>
                <w:color w:val="1F4E79"/>
                <w:sz w:val="20"/>
              </w:rPr>
              <w:t>Interview-ready framing</w:t>
            </w:r>
          </w:p>
          <w:p>
            <w:pPr>
              <w:spacing w:after="0"/>
            </w:pPr>
            <w:r>
              <w:rPr>
                <w:rFonts w:ascii="Arial" w:hAnsi="Arial"/>
                <w:color w:val="1F2937"/>
                <w:sz w:val="18"/>
              </w:rPr>
              <w:t>I designed the autograder as a decision-routing system: automate high-confidence grading, protect low-confidence cases through escalation, and convert grading activity into operational metrics for Power BI.</w:t>
            </w:r>
          </w:p>
        </w:tc>
      </w:tr>
    </w:tbl>
    <w:p>
      <w:pPr>
        <w:spacing w:after="100"/>
      </w:pPr>
    </w:p>
    <w:p>
      <w:pPr>
        <w:spacing w:after="100"/>
      </w:pPr>
      <w:r>
        <w:br w:type="page"/>
      </w:r>
    </w:p>
    <w:p>
      <w:pPr>
        <w:pStyle w:val="Heading1"/>
        <w:spacing w:after="80" w:before="160"/>
      </w:pPr>
      <w:r>
        <w:t>7. Scalability Weaknesses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r/>
            <w:r>
              <w:rPr>
                <w:rFonts w:ascii="Arial" w:hAnsi="Arial"/>
                <w:b/>
                <w:color w:val="FFFFFF"/>
                <w:sz w:val="15"/>
              </w:rPr>
              <w:t>Weakness</w:t>
            </w:r>
          </w:p>
        </w:tc>
        <w:tc>
          <w:tcPr>
            <w:tcW w:type="dxa" w:w="3888"/>
            <w:shd w:fill="1F4E79"/>
            <w:vAlign w:val="center"/>
          </w:tcPr>
          <w:p>
            <w:r/>
            <w:r>
              <w:rPr>
                <w:rFonts w:ascii="Arial" w:hAnsi="Arial"/>
                <w:b/>
                <w:color w:val="FFFFFF"/>
                <w:sz w:val="15"/>
              </w:rPr>
              <w:t>Why it matters</w:t>
            </w:r>
          </w:p>
        </w:tc>
        <w:tc>
          <w:tcPr>
            <w:tcW w:type="dxa" w:w="3600"/>
            <w:shd w:fill="1F4E79"/>
            <w:vAlign w:val="center"/>
          </w:tcPr>
          <w:p>
            <w:r/>
            <w:r>
              <w:rPr>
                <w:rFonts w:ascii="Arial" w:hAnsi="Arial"/>
                <w:b/>
                <w:color w:val="FFFFFF"/>
                <w:sz w:val="15"/>
              </w:rPr>
              <w:t>Recommended improvement</w:t>
            </w:r>
          </w:p>
        </w:tc>
      </w:tr>
      <w:tr>
        <w:tc>
          <w:tcPr>
            <w:tcW w:type="dxa" w:w="2592"/>
            <w:vAlign w:val="top"/>
          </w:tcPr>
          <w:p>
            <w:r/>
            <w:r>
              <w:rPr>
                <w:rFonts w:ascii="Arial" w:hAnsi="Arial"/>
                <w:b w:val="0"/>
                <w:sz w:val="15"/>
              </w:rPr>
              <w:t>Single-process batch orchestration</w:t>
            </w:r>
          </w:p>
        </w:tc>
        <w:tc>
          <w:tcPr>
            <w:tcW w:type="dxa" w:w="3888"/>
            <w:vAlign w:val="top"/>
          </w:tcPr>
          <w:p>
            <w:r/>
            <w:r>
              <w:rPr>
                <w:rFonts w:ascii="Arial" w:hAnsi="Arial"/>
                <w:b w:val="0"/>
                <w:sz w:val="15"/>
              </w:rPr>
              <w:t>A slow download, AI timeout, DB error, or email failure can slow the whole batch</w:t>
            </w:r>
          </w:p>
        </w:tc>
        <w:tc>
          <w:tcPr>
            <w:tcW w:type="dxa" w:w="3600"/>
            <w:vAlign w:val="top"/>
          </w:tcPr>
          <w:p>
            <w:r/>
            <w:r>
              <w:rPr>
                <w:rFonts w:ascii="Arial" w:hAnsi="Arial"/>
                <w:b w:val="0"/>
                <w:sz w:val="15"/>
              </w:rPr>
              <w:t>Move to queue-based workers or scheduled function jobs</w:t>
            </w:r>
          </w:p>
        </w:tc>
      </w:tr>
      <w:tr>
        <w:tc>
          <w:tcPr>
            <w:tcW w:type="dxa" w:w="2592"/>
            <w:vAlign w:val="top"/>
          </w:tcPr>
          <w:p>
            <w:r/>
            <w:r>
              <w:rPr>
                <w:rFonts w:ascii="Arial" w:hAnsi="Arial"/>
                <w:b w:val="0"/>
                <w:sz w:val="15"/>
              </w:rPr>
              <w:t>No explicit job state machine</w:t>
            </w:r>
          </w:p>
        </w:tc>
        <w:tc>
          <w:tcPr>
            <w:tcW w:type="dxa" w:w="3888"/>
            <w:vAlign w:val="top"/>
          </w:tcPr>
          <w:p>
            <w:r/>
            <w:r>
              <w:rPr>
                <w:rFonts w:ascii="Arial" w:hAnsi="Arial"/>
                <w:b w:val="0"/>
                <w:sz w:val="15"/>
              </w:rPr>
              <w:t>Difficult to know whether a row failed during download, grading, DB write, or email</w:t>
            </w:r>
          </w:p>
        </w:tc>
        <w:tc>
          <w:tcPr>
            <w:tcW w:type="dxa" w:w="3600"/>
            <w:vAlign w:val="top"/>
          </w:tcPr>
          <w:p>
            <w:r/>
            <w:r>
              <w:rPr>
                <w:rFonts w:ascii="Arial" w:hAnsi="Arial"/>
                <w:b w:val="0"/>
                <w:sz w:val="15"/>
              </w:rPr>
              <w:t>Add ProcessingStatus and/or FactProcessingEvent</w:t>
            </w:r>
          </w:p>
        </w:tc>
      </w:tr>
      <w:tr>
        <w:tc>
          <w:tcPr>
            <w:tcW w:type="dxa" w:w="2592"/>
            <w:vAlign w:val="top"/>
          </w:tcPr>
          <w:p>
            <w:r/>
            <w:r>
              <w:rPr>
                <w:rFonts w:ascii="Arial" w:hAnsi="Arial"/>
                <w:b w:val="0"/>
                <w:sz w:val="15"/>
              </w:rPr>
              <w:t>Confidence not fully persisted</w:t>
            </w:r>
          </w:p>
        </w:tc>
        <w:tc>
          <w:tcPr>
            <w:tcW w:type="dxa" w:w="3888"/>
            <w:vAlign w:val="top"/>
          </w:tcPr>
          <w:p>
            <w:r/>
            <w:r>
              <w:rPr>
                <w:rFonts w:ascii="Arial" w:hAnsi="Arial"/>
                <w:b w:val="0"/>
                <w:sz w:val="15"/>
              </w:rPr>
              <w:t>Cannot monitor low-confidence AI decisions in Power BI</w:t>
            </w:r>
          </w:p>
        </w:tc>
        <w:tc>
          <w:tcPr>
            <w:tcW w:type="dxa" w:w="3600"/>
            <w:vAlign w:val="top"/>
          </w:tcPr>
          <w:p>
            <w:r/>
            <w:r>
              <w:rPr>
                <w:rFonts w:ascii="Arial" w:hAnsi="Arial"/>
                <w:b w:val="0"/>
                <w:sz w:val="15"/>
              </w:rPr>
              <w:t>Add Confidence, AIGrade, PythonGrade, FinalGrade, GradeDelta</w:t>
            </w:r>
          </w:p>
        </w:tc>
      </w:tr>
      <w:tr>
        <w:tc>
          <w:tcPr>
            <w:tcW w:type="dxa" w:w="2592"/>
            <w:vAlign w:val="top"/>
          </w:tcPr>
          <w:p>
            <w:r/>
            <w:r>
              <w:rPr>
                <w:rFonts w:ascii="Arial" w:hAnsi="Arial"/>
                <w:b w:val="0"/>
                <w:sz w:val="15"/>
              </w:rPr>
              <w:t>Benchmark size is small</w:t>
            </w:r>
          </w:p>
        </w:tc>
        <w:tc>
          <w:tcPr>
            <w:tcW w:type="dxa" w:w="3888"/>
            <w:vAlign w:val="top"/>
          </w:tcPr>
          <w:p>
            <w:r/>
            <w:r>
              <w:rPr>
                <w:rFonts w:ascii="Arial" w:hAnsi="Arial"/>
                <w:b w:val="0"/>
                <w:sz w:val="15"/>
              </w:rPr>
              <w:t>15 benchmark rows is not enough to validate production AI accuracy</w:t>
            </w:r>
          </w:p>
        </w:tc>
        <w:tc>
          <w:tcPr>
            <w:tcW w:type="dxa" w:w="3600"/>
            <w:vAlign w:val="top"/>
          </w:tcPr>
          <w:p>
            <w:r/>
            <w:r>
              <w:rPr>
                <w:rFonts w:ascii="Arial" w:hAnsi="Arial"/>
                <w:b w:val="0"/>
                <w:sz w:val="15"/>
              </w:rPr>
              <w:t>Build 50-100+ labeled benchmark cases across assignment types</w:t>
            </w:r>
          </w:p>
        </w:tc>
      </w:tr>
      <w:tr>
        <w:tc>
          <w:tcPr>
            <w:tcW w:type="dxa" w:w="2592"/>
            <w:vAlign w:val="top"/>
          </w:tcPr>
          <w:p>
            <w:r/>
            <w:r>
              <w:rPr>
                <w:rFonts w:ascii="Arial" w:hAnsi="Arial"/>
                <w:b w:val="0"/>
                <w:sz w:val="15"/>
              </w:rPr>
              <w:t>Test expectations are not aligned</w:t>
            </w:r>
          </w:p>
        </w:tc>
        <w:tc>
          <w:tcPr>
            <w:tcW w:type="dxa" w:w="3888"/>
            <w:vAlign w:val="top"/>
          </w:tcPr>
          <w:p>
            <w:r/>
            <w:r>
              <w:rPr>
                <w:rFonts w:ascii="Arial" w:hAnsi="Arial"/>
                <w:b w:val="0"/>
                <w:sz w:val="15"/>
              </w:rPr>
              <w:t>Current tests show 59 passed and 16 failed, mainly threshold expectation mismatch</w:t>
            </w:r>
          </w:p>
        </w:tc>
        <w:tc>
          <w:tcPr>
            <w:tcW w:type="dxa" w:w="3600"/>
            <w:vAlign w:val="top"/>
          </w:tcPr>
          <w:p>
            <w:r/>
            <w:r>
              <w:rPr>
                <w:rFonts w:ascii="Arial" w:hAnsi="Arial"/>
                <w:b w:val="0"/>
                <w:sz w:val="15"/>
              </w:rPr>
              <w:t>Update tests to match approved grading rules</w:t>
            </w:r>
          </w:p>
        </w:tc>
      </w:tr>
      <w:tr>
        <w:tc>
          <w:tcPr>
            <w:tcW w:type="dxa" w:w="2592"/>
            <w:vAlign w:val="top"/>
          </w:tcPr>
          <w:p>
            <w:r/>
            <w:r>
              <w:rPr>
                <w:rFonts w:ascii="Arial" w:hAnsi="Arial"/>
                <w:b w:val="0"/>
                <w:sz w:val="15"/>
              </w:rPr>
              <w:t>SQL validation is structural</w:t>
            </w:r>
          </w:p>
        </w:tc>
        <w:tc>
          <w:tcPr>
            <w:tcW w:type="dxa" w:w="3888"/>
            <w:vAlign w:val="top"/>
          </w:tcPr>
          <w:p>
            <w:r/>
            <w:r>
              <w:rPr>
                <w:rFonts w:ascii="Arial" w:hAnsi="Arial"/>
                <w:b w:val="0"/>
                <w:sz w:val="15"/>
              </w:rPr>
              <w:t>Presence of SQL keywords does not prove correct result logic</w:t>
            </w:r>
          </w:p>
        </w:tc>
        <w:tc>
          <w:tcPr>
            <w:tcW w:type="dxa" w:w="3600"/>
            <w:vAlign w:val="top"/>
          </w:tcPr>
          <w:p>
            <w:r/>
            <w:r>
              <w:rPr>
                <w:rFonts w:ascii="Arial" w:hAnsi="Arial"/>
                <w:b w:val="0"/>
                <w:sz w:val="15"/>
              </w:rPr>
              <w:t>Add sandbox SQL execution and expected-result comparison</w:t>
            </w:r>
          </w:p>
        </w:tc>
      </w:tr>
      <w:tr>
        <w:tc>
          <w:tcPr>
            <w:tcW w:type="dxa" w:w="2592"/>
            <w:vAlign w:val="top"/>
          </w:tcPr>
          <w:p>
            <w:r/>
            <w:r>
              <w:rPr>
                <w:rFonts w:ascii="Arial" w:hAnsi="Arial"/>
                <w:b w:val="0"/>
                <w:sz w:val="15"/>
              </w:rPr>
              <w:t>Email and branch differences</w:t>
            </w:r>
          </w:p>
        </w:tc>
        <w:tc>
          <w:tcPr>
            <w:tcW w:type="dxa" w:w="3888"/>
            <w:vAlign w:val="top"/>
          </w:tcPr>
          <w:p>
            <w:r/>
            <w:r>
              <w:rPr>
                <w:rFonts w:ascii="Arial" w:hAnsi="Arial"/>
                <w:b w:val="0"/>
                <w:sz w:val="15"/>
              </w:rPr>
              <w:t>Production and testing have different reject thresholds and email safeguards</w:t>
            </w:r>
          </w:p>
        </w:tc>
        <w:tc>
          <w:tcPr>
            <w:tcW w:type="dxa" w:w="3600"/>
            <w:vAlign w:val="top"/>
          </w:tcPr>
          <w:p>
            <w:r/>
            <w:r>
              <w:rPr>
                <w:rFonts w:ascii="Arial" w:hAnsi="Arial"/>
                <w:b w:val="0"/>
                <w:sz w:val="15"/>
              </w:rPr>
              <w:t>Standardize routing rules before promotion</w:t>
            </w:r>
          </w:p>
        </w:tc>
      </w:tr>
      <w:tr>
        <w:tc>
          <w:tcPr>
            <w:tcW w:type="dxa" w:w="2592"/>
            <w:vAlign w:val="top"/>
          </w:tcPr>
          <w:p>
            <w:r/>
            <w:r>
              <w:rPr>
                <w:rFonts w:ascii="Arial" w:hAnsi="Arial"/>
                <w:b w:val="0"/>
                <w:sz w:val="15"/>
              </w:rPr>
              <w:t>Limited audit trail</w:t>
            </w:r>
          </w:p>
        </w:tc>
        <w:tc>
          <w:tcPr>
            <w:tcW w:type="dxa" w:w="3888"/>
            <w:vAlign w:val="top"/>
          </w:tcPr>
          <w:p>
            <w:r/>
            <w:r>
              <w:rPr>
                <w:rFonts w:ascii="Arial" w:hAnsi="Arial"/>
                <w:b w:val="0"/>
                <w:sz w:val="15"/>
              </w:rPr>
              <w:t>Hard to diagnose failures and measure step-level performance</w:t>
            </w:r>
          </w:p>
        </w:tc>
        <w:tc>
          <w:tcPr>
            <w:tcW w:type="dxa" w:w="3600"/>
            <w:vAlign w:val="top"/>
          </w:tcPr>
          <w:p>
            <w:r/>
            <w:r>
              <w:rPr>
                <w:rFonts w:ascii="Arial" w:hAnsi="Arial"/>
                <w:b w:val="0"/>
                <w:sz w:val="15"/>
              </w:rPr>
              <w:t>Add event logging for grade, escalation, email, retry, and manual override events</w:t>
            </w:r>
          </w:p>
        </w:tc>
      </w:tr>
    </w:tbl>
    <w:p>
      <w:pPr>
        <w:spacing w:after="100"/>
      </w:pPr>
    </w:p>
    <w:p>
      <w:pPr>
        <w:pStyle w:val="Heading2"/>
        <w:spacing w:after="80" w:before="160"/>
      </w:pPr>
      <w:r>
        <w:t>Current quality signals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r/>
            <w:r>
              <w:rPr>
                <w:rFonts w:ascii="Arial" w:hAnsi="Arial"/>
                <w:b/>
                <w:color w:val="FFFFFF"/>
                <w:sz w:val="16"/>
              </w:rPr>
              <w:t>Quality signal</w:t>
            </w:r>
          </w:p>
        </w:tc>
        <w:tc>
          <w:tcPr>
            <w:tcW w:type="dxa" w:w="4320"/>
            <w:shd w:fill="1F4E79"/>
            <w:vAlign w:val="center"/>
          </w:tcPr>
          <w:p>
            <w:r/>
            <w:r>
              <w:rPr>
                <w:rFonts w:ascii="Arial" w:hAnsi="Arial"/>
                <w:b/>
                <w:color w:val="FFFFFF"/>
                <w:sz w:val="16"/>
              </w:rPr>
              <w:t>Observed result</w:t>
            </w:r>
          </w:p>
        </w:tc>
        <w:tc>
          <w:tcPr>
            <w:tcW w:type="dxa" w:w="3168"/>
            <w:shd w:fill="1F4E79"/>
            <w:vAlign w:val="center"/>
          </w:tcPr>
          <w:p>
            <w:r/>
            <w:r>
              <w:rPr>
                <w:rFonts w:ascii="Arial" w:hAnsi="Arial"/>
                <w:b/>
                <w:color w:val="FFFFFF"/>
                <w:sz w:val="16"/>
              </w:rPr>
              <w:t>Interpretation</w:t>
            </w:r>
          </w:p>
        </w:tc>
      </w:tr>
      <w:tr>
        <w:tc>
          <w:tcPr>
            <w:tcW w:type="dxa" w:w="2592"/>
            <w:vAlign w:val="top"/>
          </w:tcPr>
          <w:p>
            <w:r/>
            <w:r>
              <w:rPr>
                <w:rFonts w:ascii="Arial" w:hAnsi="Arial"/>
                <w:b w:val="0"/>
                <w:sz w:val="16"/>
              </w:rPr>
              <w:t>Latest benchmark summary</w:t>
            </w:r>
          </w:p>
        </w:tc>
        <w:tc>
          <w:tcPr>
            <w:tcW w:type="dxa" w:w="4320"/>
            <w:vAlign w:val="top"/>
          </w:tcPr>
          <w:p>
            <w:r/>
            <w:r>
              <w:rPr>
                <w:rFonts w:ascii="Arial" w:hAnsi="Arial"/>
                <w:b w:val="0"/>
                <w:sz w:val="16"/>
              </w:rPr>
              <w:t>15 rows; AI exact match 40.0%; Python exact match 33.3%; AI/Python agreement 53.3%; false rejections 2</w:t>
            </w:r>
          </w:p>
        </w:tc>
        <w:tc>
          <w:tcPr>
            <w:tcW w:type="dxa" w:w="3168"/>
            <w:vAlign w:val="top"/>
          </w:tcPr>
          <w:p>
            <w:r/>
            <w:r>
              <w:rPr>
                <w:rFonts w:ascii="Arial" w:hAnsi="Arial"/>
                <w:b w:val="0"/>
                <w:sz w:val="16"/>
              </w:rPr>
              <w:t>Good as an early calibration baseline, not enough for production promotion</w:t>
            </w:r>
          </w:p>
        </w:tc>
      </w:tr>
      <w:tr>
        <w:tc>
          <w:tcPr>
            <w:tcW w:type="dxa" w:w="2592"/>
            <w:vAlign w:val="top"/>
          </w:tcPr>
          <w:p>
            <w:r/>
            <w:r>
              <w:rPr>
                <w:rFonts w:ascii="Arial" w:hAnsi="Arial"/>
                <w:b w:val="0"/>
                <w:sz w:val="16"/>
              </w:rPr>
              <w:t>Testing unit test run</w:t>
            </w:r>
          </w:p>
        </w:tc>
        <w:tc>
          <w:tcPr>
            <w:tcW w:type="dxa" w:w="4320"/>
            <w:vAlign w:val="top"/>
          </w:tcPr>
          <w:p>
            <w:r/>
            <w:r>
              <w:rPr>
                <w:rFonts w:ascii="Arial" w:hAnsi="Arial"/>
                <w:b w:val="0"/>
                <w:sz w:val="16"/>
              </w:rPr>
              <w:t>59 passed; 16 failed</w:t>
            </w:r>
          </w:p>
        </w:tc>
        <w:tc>
          <w:tcPr>
            <w:tcW w:type="dxa" w:w="3168"/>
            <w:vAlign w:val="top"/>
          </w:tcPr>
          <w:p>
            <w:r/>
            <w:r>
              <w:rPr>
                <w:rFonts w:ascii="Arial" w:hAnsi="Arial"/>
                <w:b w:val="0"/>
                <w:sz w:val="16"/>
              </w:rPr>
              <w:t>Testing framework exists, but expectations and current grading logic need alignment</w:t>
            </w:r>
          </w:p>
        </w:tc>
      </w:tr>
      <w:tr>
        <w:tc>
          <w:tcPr>
            <w:tcW w:type="dxa" w:w="2592"/>
            <w:vAlign w:val="top"/>
          </w:tcPr>
          <w:p>
            <w:r/>
            <w:r>
              <w:rPr>
                <w:rFonts w:ascii="Arial" w:hAnsi="Arial"/>
                <w:b w:val="0"/>
                <w:sz w:val="16"/>
              </w:rPr>
              <w:t>Production readiness gate</w:t>
            </w:r>
          </w:p>
        </w:tc>
        <w:tc>
          <w:tcPr>
            <w:tcW w:type="dxa" w:w="4320"/>
            <w:vAlign w:val="top"/>
          </w:tcPr>
          <w:p>
            <w:r/>
            <w:r>
              <w:rPr>
                <w:rFonts w:ascii="Arial" w:hAnsi="Arial"/>
                <w:b w:val="0"/>
                <w:sz w:val="16"/>
              </w:rPr>
              <w:t>Checklist targets AI exact match &gt;= 90%, zero false rejections on last 50 submissions, shadow agreement &gt;= 85% over 3 runs</w:t>
            </w:r>
          </w:p>
        </w:tc>
        <w:tc>
          <w:tcPr>
            <w:tcW w:type="dxa" w:w="3168"/>
            <w:vAlign w:val="top"/>
          </w:tcPr>
          <w:p>
            <w:r/>
            <w:r>
              <w:rPr>
                <w:rFonts w:ascii="Arial" w:hAnsi="Arial"/>
                <w:b w:val="0"/>
                <w:sz w:val="16"/>
              </w:rPr>
              <w:t>Good enterprise-style promotion criteria</w:t>
            </w:r>
          </w:p>
        </w:tc>
      </w:tr>
    </w:tbl>
    <w:p>
      <w:pPr>
        <w:spacing w:after="100"/>
      </w:pPr>
    </w:p>
    <w:p>
      <w:pPr>
        <w:pStyle w:val="Heading1"/>
        <w:spacing w:after="80" w:before="160"/>
      </w:pPr>
      <w:r>
        <w:t>8. Enterprise-Level Improvements</w:t>
      </w:r>
    </w:p>
    <w:p>
      <w:pPr>
        <w:pStyle w:val="Heading2"/>
        <w:spacing w:after="80" w:before="160"/>
      </w:pPr>
      <w:r>
        <w:t>Priority roadmap</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1F4E79"/>
            <w:vAlign w:val="center"/>
          </w:tcPr>
          <w:p>
            <w:r/>
            <w:r>
              <w:rPr>
                <w:rFonts w:ascii="Arial" w:hAnsi="Arial"/>
                <w:b/>
                <w:color w:val="FFFFFF"/>
                <w:sz w:val="16"/>
              </w:rPr>
              <w:t>Priority</w:t>
            </w:r>
          </w:p>
        </w:tc>
        <w:tc>
          <w:tcPr>
            <w:tcW w:type="dxa" w:w="4608"/>
            <w:shd w:fill="1F4E79"/>
            <w:vAlign w:val="center"/>
          </w:tcPr>
          <w:p>
            <w:r/>
            <w:r>
              <w:rPr>
                <w:rFonts w:ascii="Arial" w:hAnsi="Arial"/>
                <w:b/>
                <w:color w:val="FFFFFF"/>
                <w:sz w:val="16"/>
              </w:rPr>
              <w:t>Improvement</w:t>
            </w:r>
          </w:p>
        </w:tc>
        <w:tc>
          <w:tcPr>
            <w:tcW w:type="dxa" w:w="4032"/>
            <w:shd w:fill="1F4E79"/>
            <w:vAlign w:val="center"/>
          </w:tcPr>
          <w:p>
            <w:r/>
            <w:r>
              <w:rPr>
                <w:rFonts w:ascii="Arial" w:hAnsi="Arial"/>
                <w:b/>
                <w:color w:val="FFFFFF"/>
                <w:sz w:val="16"/>
              </w:rPr>
              <w:t>Business outcome</w:t>
            </w:r>
          </w:p>
        </w:tc>
      </w:tr>
      <w:tr>
        <w:tc>
          <w:tcPr>
            <w:tcW w:type="dxa" w:w="1440"/>
            <w:vAlign w:val="top"/>
          </w:tcPr>
          <w:p>
            <w:r/>
            <w:r>
              <w:rPr>
                <w:rFonts w:ascii="Arial" w:hAnsi="Arial"/>
                <w:b w:val="0"/>
                <w:sz w:val="16"/>
              </w:rPr>
              <w:t>Immediate</w:t>
            </w:r>
          </w:p>
        </w:tc>
        <w:tc>
          <w:tcPr>
            <w:tcW w:type="dxa" w:w="4608"/>
            <w:vAlign w:val="top"/>
          </w:tcPr>
          <w:p>
            <w:r/>
            <w:r>
              <w:rPr>
                <w:rFonts w:ascii="Arial" w:hAnsi="Arial"/>
                <w:b w:val="0"/>
                <w:sz w:val="16"/>
              </w:rPr>
              <w:t>Standardize production vs testing thresholds for reject/escalate behavior</w:t>
            </w:r>
          </w:p>
        </w:tc>
        <w:tc>
          <w:tcPr>
            <w:tcW w:type="dxa" w:w="4032"/>
            <w:vAlign w:val="top"/>
          </w:tcPr>
          <w:p>
            <w:r/>
            <w:r>
              <w:rPr>
                <w:rFonts w:ascii="Arial" w:hAnsi="Arial"/>
                <w:b w:val="0"/>
                <w:sz w:val="16"/>
              </w:rPr>
              <w:t>Consistent grading policy and fewer stakeholder surprises</w:t>
            </w:r>
          </w:p>
        </w:tc>
      </w:tr>
      <w:tr>
        <w:tc>
          <w:tcPr>
            <w:tcW w:type="dxa" w:w="1440"/>
            <w:vAlign w:val="top"/>
          </w:tcPr>
          <w:p>
            <w:r/>
            <w:r>
              <w:rPr>
                <w:rFonts w:ascii="Arial" w:hAnsi="Arial"/>
                <w:b w:val="0"/>
                <w:sz w:val="16"/>
              </w:rPr>
              <w:t>Immediate</w:t>
            </w:r>
          </w:p>
        </w:tc>
        <w:tc>
          <w:tcPr>
            <w:tcW w:type="dxa" w:w="4608"/>
            <w:vAlign w:val="top"/>
          </w:tcPr>
          <w:p>
            <w:r/>
            <w:r>
              <w:rPr>
                <w:rFonts w:ascii="Arial" w:hAnsi="Arial"/>
                <w:b w:val="0"/>
                <w:sz w:val="16"/>
              </w:rPr>
              <w:t>Persist AIGrade, PythonGrade, FinalGrade, Confidence, GradeDelta, DecisionRule</w:t>
            </w:r>
          </w:p>
        </w:tc>
        <w:tc>
          <w:tcPr>
            <w:tcW w:type="dxa" w:w="4032"/>
            <w:vAlign w:val="top"/>
          </w:tcPr>
          <w:p>
            <w:r/>
            <w:r>
              <w:rPr>
                <w:rFonts w:ascii="Arial" w:hAnsi="Arial"/>
                <w:b w:val="0"/>
                <w:sz w:val="16"/>
              </w:rPr>
              <w:t>Dashboards can monitor AI quality and automation safety</w:t>
            </w:r>
          </w:p>
        </w:tc>
      </w:tr>
      <w:tr>
        <w:tc>
          <w:tcPr>
            <w:tcW w:type="dxa" w:w="1440"/>
            <w:vAlign w:val="top"/>
          </w:tcPr>
          <w:p>
            <w:r/>
            <w:r>
              <w:rPr>
                <w:rFonts w:ascii="Arial" w:hAnsi="Arial"/>
                <w:b w:val="0"/>
                <w:sz w:val="16"/>
              </w:rPr>
              <w:t>Immediate</w:t>
            </w:r>
          </w:p>
        </w:tc>
        <w:tc>
          <w:tcPr>
            <w:tcW w:type="dxa" w:w="4608"/>
            <w:vAlign w:val="top"/>
          </w:tcPr>
          <w:p>
            <w:r/>
            <w:r>
              <w:rPr>
                <w:rFonts w:ascii="Arial" w:hAnsi="Arial"/>
                <w:b w:val="0"/>
                <w:sz w:val="16"/>
              </w:rPr>
              <w:t>Fix and realign unit tests to approved grading thresholds</w:t>
            </w:r>
          </w:p>
        </w:tc>
        <w:tc>
          <w:tcPr>
            <w:tcW w:type="dxa" w:w="4032"/>
            <w:vAlign w:val="top"/>
          </w:tcPr>
          <w:p>
            <w:r/>
            <w:r>
              <w:rPr>
                <w:rFonts w:ascii="Arial" w:hAnsi="Arial"/>
                <w:b w:val="0"/>
                <w:sz w:val="16"/>
              </w:rPr>
              <w:t>Improves trust in code changes and deployment readiness</w:t>
            </w:r>
          </w:p>
        </w:tc>
      </w:tr>
      <w:tr>
        <w:tc>
          <w:tcPr>
            <w:tcW w:type="dxa" w:w="1440"/>
            <w:vAlign w:val="top"/>
          </w:tcPr>
          <w:p>
            <w:r/>
            <w:r>
              <w:rPr>
                <w:rFonts w:ascii="Arial" w:hAnsi="Arial"/>
                <w:b w:val="0"/>
                <w:sz w:val="16"/>
              </w:rPr>
              <w:t>Near-term</w:t>
            </w:r>
          </w:p>
        </w:tc>
        <w:tc>
          <w:tcPr>
            <w:tcW w:type="dxa" w:w="4608"/>
            <w:vAlign w:val="top"/>
          </w:tcPr>
          <w:p>
            <w:r/>
            <w:r>
              <w:rPr>
                <w:rFonts w:ascii="Arial" w:hAnsi="Arial"/>
                <w:b w:val="0"/>
                <w:sz w:val="16"/>
              </w:rPr>
              <w:t>Create event/audit table for grade, escalation, email, retry, and error events</w:t>
            </w:r>
          </w:p>
        </w:tc>
        <w:tc>
          <w:tcPr>
            <w:tcW w:type="dxa" w:w="4032"/>
            <w:vAlign w:val="top"/>
          </w:tcPr>
          <w:p>
            <w:r/>
            <w:r>
              <w:rPr>
                <w:rFonts w:ascii="Arial" w:hAnsi="Arial"/>
                <w:b w:val="0"/>
                <w:sz w:val="16"/>
              </w:rPr>
              <w:t>Supports operational monitoring and root-cause analysis</w:t>
            </w:r>
          </w:p>
        </w:tc>
      </w:tr>
      <w:tr>
        <w:tc>
          <w:tcPr>
            <w:tcW w:type="dxa" w:w="1440"/>
            <w:vAlign w:val="top"/>
          </w:tcPr>
          <w:p>
            <w:r/>
            <w:r>
              <w:rPr>
                <w:rFonts w:ascii="Arial" w:hAnsi="Arial"/>
                <w:b w:val="0"/>
                <w:sz w:val="16"/>
              </w:rPr>
              <w:t>Near-term</w:t>
            </w:r>
          </w:p>
        </w:tc>
        <w:tc>
          <w:tcPr>
            <w:tcW w:type="dxa" w:w="4608"/>
            <w:vAlign w:val="top"/>
          </w:tcPr>
          <w:p>
            <w:r/>
            <w:r>
              <w:rPr>
                <w:rFonts w:ascii="Arial" w:hAnsi="Arial"/>
                <w:b w:val="0"/>
                <w:sz w:val="16"/>
              </w:rPr>
              <w:t>Expand benchmark truth set to 50-100+ representative cases</w:t>
            </w:r>
          </w:p>
        </w:tc>
        <w:tc>
          <w:tcPr>
            <w:tcW w:type="dxa" w:w="4032"/>
            <w:vAlign w:val="top"/>
          </w:tcPr>
          <w:p>
            <w:r/>
            <w:r>
              <w:rPr>
                <w:rFonts w:ascii="Arial" w:hAnsi="Arial"/>
                <w:b w:val="0"/>
                <w:sz w:val="16"/>
              </w:rPr>
              <w:t>Provides credible model quality measurement</w:t>
            </w:r>
          </w:p>
        </w:tc>
      </w:tr>
      <w:tr>
        <w:tc>
          <w:tcPr>
            <w:tcW w:type="dxa" w:w="1440"/>
            <w:vAlign w:val="top"/>
          </w:tcPr>
          <w:p>
            <w:r/>
            <w:r>
              <w:rPr>
                <w:rFonts w:ascii="Arial" w:hAnsi="Arial"/>
                <w:b w:val="0"/>
                <w:sz w:val="16"/>
              </w:rPr>
              <w:t>Near-term</w:t>
            </w:r>
          </w:p>
        </w:tc>
        <w:tc>
          <w:tcPr>
            <w:tcW w:type="dxa" w:w="4608"/>
            <w:vAlign w:val="top"/>
          </w:tcPr>
          <w:p>
            <w:r/>
            <w:r>
              <w:rPr>
                <w:rFonts w:ascii="Arial" w:hAnsi="Arial"/>
                <w:b w:val="0"/>
                <w:sz w:val="16"/>
              </w:rPr>
              <w:t>Add Power BI star schema layer</w:t>
            </w:r>
          </w:p>
        </w:tc>
        <w:tc>
          <w:tcPr>
            <w:tcW w:type="dxa" w:w="4032"/>
            <w:vAlign w:val="top"/>
          </w:tcPr>
          <w:p>
            <w:r/>
            <w:r>
              <w:rPr>
                <w:rFonts w:ascii="Arial" w:hAnsi="Arial"/>
                <w:b w:val="0"/>
                <w:sz w:val="16"/>
              </w:rPr>
              <w:t>Makes KPIs stable, reusable, and executive-friendly</w:t>
            </w:r>
          </w:p>
        </w:tc>
      </w:tr>
      <w:tr>
        <w:tc>
          <w:tcPr>
            <w:tcW w:type="dxa" w:w="1440"/>
            <w:vAlign w:val="top"/>
          </w:tcPr>
          <w:p>
            <w:r/>
            <w:r>
              <w:rPr>
                <w:rFonts w:ascii="Arial" w:hAnsi="Arial"/>
                <w:b w:val="0"/>
                <w:sz w:val="16"/>
              </w:rPr>
              <w:t>Future</w:t>
            </w:r>
          </w:p>
        </w:tc>
        <w:tc>
          <w:tcPr>
            <w:tcW w:type="dxa" w:w="4608"/>
            <w:vAlign w:val="top"/>
          </w:tcPr>
          <w:p>
            <w:r/>
            <w:r>
              <w:rPr>
                <w:rFonts w:ascii="Arial" w:hAnsi="Arial"/>
                <w:b w:val="0"/>
                <w:sz w:val="16"/>
              </w:rPr>
              <w:t>Introduce queue-based processing with retry handling</w:t>
            </w:r>
          </w:p>
        </w:tc>
        <w:tc>
          <w:tcPr>
            <w:tcW w:type="dxa" w:w="4032"/>
            <w:vAlign w:val="top"/>
          </w:tcPr>
          <w:p>
            <w:r/>
            <w:r>
              <w:rPr>
                <w:rFonts w:ascii="Arial" w:hAnsi="Arial"/>
                <w:b w:val="0"/>
                <w:sz w:val="16"/>
              </w:rPr>
              <w:t>Scales beyond a local batch script</w:t>
            </w:r>
          </w:p>
        </w:tc>
      </w:tr>
      <w:tr>
        <w:tc>
          <w:tcPr>
            <w:tcW w:type="dxa" w:w="1440"/>
            <w:vAlign w:val="top"/>
          </w:tcPr>
          <w:p>
            <w:r/>
            <w:r>
              <w:rPr>
                <w:rFonts w:ascii="Arial" w:hAnsi="Arial"/>
                <w:b w:val="0"/>
                <w:sz w:val="16"/>
              </w:rPr>
              <w:t>Future</w:t>
            </w:r>
          </w:p>
        </w:tc>
        <w:tc>
          <w:tcPr>
            <w:tcW w:type="dxa" w:w="4608"/>
            <w:vAlign w:val="top"/>
          </w:tcPr>
          <w:p>
            <w:r/>
            <w:r>
              <w:rPr>
                <w:rFonts w:ascii="Arial" w:hAnsi="Arial"/>
                <w:b w:val="0"/>
                <w:sz w:val="16"/>
              </w:rPr>
              <w:t>Add SQL sandbox execution and result-set comparison</w:t>
            </w:r>
          </w:p>
        </w:tc>
        <w:tc>
          <w:tcPr>
            <w:tcW w:type="dxa" w:w="4032"/>
            <w:vAlign w:val="top"/>
          </w:tcPr>
          <w:p>
            <w:r/>
            <w:r>
              <w:rPr>
                <w:rFonts w:ascii="Arial" w:hAnsi="Arial"/>
                <w:b w:val="0"/>
                <w:sz w:val="16"/>
              </w:rPr>
              <w:t>Improves grading accuracy for SQL assignments</w:t>
            </w:r>
          </w:p>
        </w:tc>
      </w:tr>
      <w:tr>
        <w:tc>
          <w:tcPr>
            <w:tcW w:type="dxa" w:w="1440"/>
            <w:vAlign w:val="top"/>
          </w:tcPr>
          <w:p>
            <w:r/>
            <w:r>
              <w:rPr>
                <w:rFonts w:ascii="Arial" w:hAnsi="Arial"/>
                <w:b w:val="0"/>
                <w:sz w:val="16"/>
              </w:rPr>
              <w:t>Future</w:t>
            </w:r>
          </w:p>
        </w:tc>
        <w:tc>
          <w:tcPr>
            <w:tcW w:type="dxa" w:w="4608"/>
            <w:vAlign w:val="top"/>
          </w:tcPr>
          <w:p>
            <w:r/>
            <w:r>
              <w:rPr>
                <w:rFonts w:ascii="Arial" w:hAnsi="Arial"/>
                <w:b w:val="0"/>
                <w:sz w:val="16"/>
              </w:rPr>
              <w:t>Add manual-review outcome loop</w:t>
            </w:r>
          </w:p>
        </w:tc>
        <w:tc>
          <w:tcPr>
            <w:tcW w:type="dxa" w:w="4032"/>
            <w:vAlign w:val="top"/>
          </w:tcPr>
          <w:p>
            <w:r/>
            <w:r>
              <w:rPr>
                <w:rFonts w:ascii="Arial" w:hAnsi="Arial"/>
                <w:b w:val="0"/>
                <w:sz w:val="16"/>
              </w:rPr>
              <w:t>Creates continuous learning and AI calibration data</w:t>
            </w:r>
          </w:p>
        </w:tc>
      </w:tr>
    </w:tbl>
    <w:p>
      <w:pPr>
        <w:spacing w:after="100"/>
      </w:pPr>
    </w:p>
    <w:p>
      <w:pPr>
        <w:pStyle w:val="Heading2"/>
        <w:spacing w:after="80" w:before="160"/>
      </w:pPr>
      <w:r>
        <w:t>Target future architecture</w:t>
      </w:r>
    </w:p>
    <w:tbl>
      <w:tblPr>
        <w:tblW w:type="auto" w:w="0"/>
        <w:jc w:val="center"/>
        <w:tblLook w:firstColumn="1" w:firstRow="1" w:lastColumn="0" w:lastRow="0" w:noHBand="0" w:noVBand="1" w:val="04A0"/>
      </w:tblPr>
      <w:tblGrid>
        <w:gridCol w:w="10224"/>
      </w:tblGrid>
      <w:tr>
        <w:tc>
          <w:tcPr>
            <w:tcW w:type="dxa" w:w="10224"/>
            <w:shd w:fill="F8FAFC"/>
            <w:tcBorders>
              <w:top w:sz="6" w:val="single" w:color="CBD5E1"/>
              <w:left w:sz="6" w:val="single" w:color="CBD5E1"/>
              <w:bottom w:sz="6" w:val="single" w:color="CBD5E1"/>
              <w:right w:sz="6" w:val="single" w:color="CBD5E1"/>
            </w:tcBorders>
          </w:tcPr>
          <w:p>
            <w:pPr>
              <w:spacing w:after="0"/>
            </w:pPr>
            <w:r/>
            <w:r>
              <w:rPr>
                <w:rFonts w:ascii="Courier New" w:hAnsi="Courier New"/>
                <w:color w:val="1F2937"/>
                <w:sz w:val="16"/>
              </w:rPr>
              <w:t>Submission event</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Queue / job table</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Worker service</w:t>
            </w:r>
          </w:p>
          <w:p>
            <w:pPr>
              <w:spacing w:after="0"/>
            </w:pPr>
            <w:r>
              <w:rPr>
                <w:rFonts w:ascii="Courier New" w:hAnsi="Courier New"/>
                <w:color w:val="1F2937"/>
                <w:sz w:val="16"/>
              </w:rPr>
              <w:t xml:space="preserve">                |</w:t>
            </w:r>
          </w:p>
          <w:p>
            <w:pPr>
              <w:spacing w:after="0"/>
            </w:pPr>
            <w:r>
              <w:rPr>
                <w:rFonts w:ascii="Courier New" w:hAnsi="Courier New"/>
                <w:color w:val="1F2937"/>
                <w:sz w:val="16"/>
              </w:rPr>
              <w:t xml:space="preserve">                +-- File download and validation</w:t>
            </w:r>
          </w:p>
          <w:p>
            <w:pPr>
              <w:spacing w:after="0"/>
            </w:pPr>
            <w:r>
              <w:rPr>
                <w:rFonts w:ascii="Courier New" w:hAnsi="Courier New"/>
                <w:color w:val="1F2937"/>
                <w:sz w:val="16"/>
              </w:rPr>
              <w:t xml:space="preserve">                +-- Python deterministic checks</w:t>
            </w:r>
          </w:p>
          <w:p>
            <w:pPr>
              <w:spacing w:after="0"/>
            </w:pPr>
            <w:r>
              <w:rPr>
                <w:rFonts w:ascii="Courier New" w:hAnsi="Courier New"/>
                <w:color w:val="1F2937"/>
                <w:sz w:val="16"/>
              </w:rPr>
              <w:t xml:space="preserve">                +-- AI semantic grading</w:t>
            </w:r>
          </w:p>
          <w:p>
            <w:pPr>
              <w:spacing w:after="0"/>
            </w:pPr>
            <w:r>
              <w:rPr>
                <w:rFonts w:ascii="Courier New" w:hAnsi="Courier New"/>
                <w:color w:val="1F2937"/>
                <w:sz w:val="16"/>
              </w:rPr>
              <w:t xml:space="preserve">                +-- Grade reconciliation</w:t>
            </w:r>
          </w:p>
          <w:p>
            <w:pPr>
              <w:spacing w:after="0"/>
            </w:pPr>
            <w:r>
              <w:rPr>
                <w:rFonts w:ascii="Courier New" w:hAnsi="Courier New"/>
                <w:color w:val="1F2937"/>
                <w:sz w:val="16"/>
              </w:rPr>
              <w:t xml:space="preserve">                +-- SQL Server write</w:t>
            </w:r>
          </w:p>
          <w:p>
            <w:pPr>
              <w:spacing w:after="0"/>
            </w:pPr>
            <w:r>
              <w:rPr>
                <w:rFonts w:ascii="Courier New" w:hAnsi="Courier New"/>
                <w:color w:val="1F2937"/>
                <w:sz w:val="16"/>
              </w:rPr>
              <w:t xml:space="preserve">                +-- Email event logging</w:t>
            </w:r>
          </w:p>
          <w:p>
            <w:pPr>
              <w:spacing w:after="0"/>
            </w:pPr>
            <w:r>
              <w:rPr>
                <w:rFonts w:ascii="Courier New" w:hAnsi="Courier New"/>
                <w:color w:val="1F2937"/>
                <w:sz w:val="16"/>
              </w:rPr>
              <w:t xml:space="preserve">                +-- Power BI semantic model refresh</w:t>
            </w:r>
          </w:p>
        </w:tc>
      </w:tr>
    </w:tbl>
    <w:p>
      <w:pPr>
        <w:spacing w:after="100"/>
      </w:pPr>
    </w:p>
    <w:p>
      <w:pPr>
        <w:spacing w:after="100"/>
      </w:pPr>
      <w:r>
        <w:rPr>
          <w:rFonts w:ascii="Arial" w:hAnsi="Arial"/>
        </w:rPr>
        <w:t>This future architecture separates ingestion, grading, persistence, notification, and reporting. That separation is what turns the project from a working automation script into an enterprise BI/AI product design.</w:t>
      </w:r>
    </w:p>
    <w:p>
      <w:pPr>
        <w:spacing w:after="100"/>
      </w:pPr>
      <w:r>
        <w:br w:type="page"/>
      </w:r>
    </w:p>
    <w:p>
      <w:pPr>
        <w:pStyle w:val="Heading1"/>
        <w:spacing w:after="80" w:before="160"/>
      </w:pPr>
      <w:r>
        <w:t>9. Power BI Dashboard Requirements</w:t>
      </w:r>
    </w:p>
    <w:p>
      <w:pPr>
        <w:spacing w:after="100"/>
      </w:pPr>
      <w:r>
        <w:rPr>
          <w:rFonts w:ascii="Arial" w:hAnsi="Arial"/>
        </w:rPr>
        <w:t>The Power BI dashboard should focus on operational efficiency, grading quality, instructor workload, and student support signals.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r/>
            <w:r>
              <w:rPr>
                <w:rFonts w:ascii="Arial" w:hAnsi="Arial"/>
                <w:b/>
                <w:color w:val="FFFFFF"/>
                <w:sz w:val="16"/>
              </w:rPr>
              <w:t>KPI</w:t>
            </w:r>
          </w:p>
        </w:tc>
        <w:tc>
          <w:tcPr>
            <w:tcW w:type="dxa" w:w="4320"/>
            <w:shd w:fill="1F4E79"/>
            <w:vAlign w:val="center"/>
          </w:tcPr>
          <w:p>
            <w:r/>
            <w:r>
              <w:rPr>
                <w:rFonts w:ascii="Arial" w:hAnsi="Arial"/>
                <w:b/>
                <w:color w:val="FFFFFF"/>
                <w:sz w:val="16"/>
              </w:rPr>
              <w:t>Definition</w:t>
            </w:r>
          </w:p>
        </w:tc>
        <w:tc>
          <w:tcPr>
            <w:tcW w:type="dxa" w:w="3456"/>
            <w:shd w:fill="1F4E79"/>
            <w:vAlign w:val="center"/>
          </w:tcPr>
          <w:p>
            <w:r/>
            <w:r>
              <w:rPr>
                <w:rFonts w:ascii="Arial" w:hAnsi="Arial"/>
                <w:b/>
                <w:color w:val="FFFFFF"/>
                <w:sz w:val="16"/>
              </w:rPr>
              <w:t>Why leadership cares</w:t>
            </w:r>
          </w:p>
        </w:tc>
      </w:tr>
      <w:tr>
        <w:tc>
          <w:tcPr>
            <w:tcW w:type="dxa" w:w="2304"/>
            <w:vAlign w:val="top"/>
          </w:tcPr>
          <w:p>
            <w:r/>
            <w:r>
              <w:rPr>
                <w:rFonts w:ascii="Arial" w:hAnsi="Arial"/>
                <w:b w:val="0"/>
                <w:sz w:val="16"/>
              </w:rPr>
              <w:t>Automation Rate</w:t>
            </w:r>
          </w:p>
        </w:tc>
        <w:tc>
          <w:tcPr>
            <w:tcW w:type="dxa" w:w="4320"/>
            <w:vAlign w:val="top"/>
          </w:tcPr>
          <w:p>
            <w:r/>
            <w:r>
              <w:rPr>
                <w:rFonts w:ascii="Arial" w:hAnsi="Arial"/>
                <w:b w:val="0"/>
                <w:sz w:val="16"/>
              </w:rPr>
              <w:t>Automated completed submissions / total submissions</w:t>
            </w:r>
          </w:p>
        </w:tc>
        <w:tc>
          <w:tcPr>
            <w:tcW w:type="dxa" w:w="3456"/>
            <w:vAlign w:val="top"/>
          </w:tcPr>
          <w:p>
            <w:r/>
            <w:r>
              <w:rPr>
                <w:rFonts w:ascii="Arial" w:hAnsi="Arial"/>
                <w:b w:val="0"/>
                <w:sz w:val="16"/>
              </w:rPr>
              <w:t>Shows manual effort reduction</w:t>
            </w:r>
          </w:p>
        </w:tc>
      </w:tr>
      <w:tr>
        <w:tc>
          <w:tcPr>
            <w:tcW w:type="dxa" w:w="2304"/>
            <w:vAlign w:val="top"/>
          </w:tcPr>
          <w:p>
            <w:r/>
            <w:r>
              <w:rPr>
                <w:rFonts w:ascii="Arial" w:hAnsi="Arial"/>
                <w:b w:val="0"/>
                <w:sz w:val="16"/>
              </w:rPr>
              <w:t>Escalation Rate</w:t>
            </w:r>
          </w:p>
        </w:tc>
        <w:tc>
          <w:tcPr>
            <w:tcW w:type="dxa" w:w="4320"/>
            <w:vAlign w:val="top"/>
          </w:tcPr>
          <w:p>
            <w:r/>
            <w:r>
              <w:rPr>
                <w:rFonts w:ascii="Arial" w:hAnsi="Arial"/>
                <w:b w:val="0"/>
                <w:sz w:val="16"/>
              </w:rPr>
              <w:t>Manual-review submissions / total submissions</w:t>
            </w:r>
          </w:p>
        </w:tc>
        <w:tc>
          <w:tcPr>
            <w:tcW w:type="dxa" w:w="3456"/>
            <w:vAlign w:val="top"/>
          </w:tcPr>
          <w:p>
            <w:r/>
            <w:r>
              <w:rPr>
                <w:rFonts w:ascii="Arial" w:hAnsi="Arial"/>
                <w:b w:val="0"/>
                <w:sz w:val="16"/>
              </w:rPr>
              <w:t>Shows instructor workload and quality risk</w:t>
            </w:r>
          </w:p>
        </w:tc>
      </w:tr>
      <w:tr>
        <w:tc>
          <w:tcPr>
            <w:tcW w:type="dxa" w:w="2304"/>
            <w:vAlign w:val="top"/>
          </w:tcPr>
          <w:p>
            <w:r/>
            <w:r>
              <w:rPr>
                <w:rFonts w:ascii="Arial" w:hAnsi="Arial"/>
                <w:b w:val="0"/>
                <w:sz w:val="16"/>
              </w:rPr>
              <w:t>Low Confidence Rate</w:t>
            </w:r>
          </w:p>
        </w:tc>
        <w:tc>
          <w:tcPr>
            <w:tcW w:type="dxa" w:w="4320"/>
            <w:vAlign w:val="top"/>
          </w:tcPr>
          <w:p>
            <w:r/>
            <w:r>
              <w:rPr>
                <w:rFonts w:ascii="Arial" w:hAnsi="Arial"/>
                <w:b w:val="0"/>
                <w:sz w:val="16"/>
              </w:rPr>
              <w:t>Submissions below confidence threshold / total AI-graded submissions</w:t>
            </w:r>
          </w:p>
        </w:tc>
        <w:tc>
          <w:tcPr>
            <w:tcW w:type="dxa" w:w="3456"/>
            <w:vAlign w:val="top"/>
          </w:tcPr>
          <w:p>
            <w:r/>
            <w:r>
              <w:rPr>
                <w:rFonts w:ascii="Arial" w:hAnsi="Arial"/>
                <w:b w:val="0"/>
                <w:sz w:val="16"/>
              </w:rPr>
              <w:t>Measures AI decision risk</w:t>
            </w:r>
          </w:p>
        </w:tc>
      </w:tr>
      <w:tr>
        <w:tc>
          <w:tcPr>
            <w:tcW w:type="dxa" w:w="2304"/>
            <w:vAlign w:val="top"/>
          </w:tcPr>
          <w:p>
            <w:r/>
            <w:r>
              <w:rPr>
                <w:rFonts w:ascii="Arial" w:hAnsi="Arial"/>
                <w:b w:val="0"/>
                <w:sz w:val="16"/>
              </w:rPr>
              <w:t>AI/Python Agreement Rate</w:t>
            </w:r>
          </w:p>
        </w:tc>
        <w:tc>
          <w:tcPr>
            <w:tcW w:type="dxa" w:w="4320"/>
            <w:vAlign w:val="top"/>
          </w:tcPr>
          <w:p>
            <w:r/>
            <w:r>
              <w:rPr>
                <w:rFonts w:ascii="Arial" w:hAnsi="Arial"/>
                <w:b w:val="0"/>
                <w:sz w:val="16"/>
              </w:rPr>
              <w:t>Rows where AI and Python grades are within accepted tolerance</w:t>
            </w:r>
          </w:p>
        </w:tc>
        <w:tc>
          <w:tcPr>
            <w:tcW w:type="dxa" w:w="3456"/>
            <w:vAlign w:val="top"/>
          </w:tcPr>
          <w:p>
            <w:r/>
            <w:r>
              <w:rPr>
                <w:rFonts w:ascii="Arial" w:hAnsi="Arial"/>
                <w:b w:val="0"/>
                <w:sz w:val="16"/>
              </w:rPr>
              <w:t>Validates AI reliability</w:t>
            </w:r>
          </w:p>
        </w:tc>
      </w:tr>
      <w:tr>
        <w:tc>
          <w:tcPr>
            <w:tcW w:type="dxa" w:w="2304"/>
            <w:vAlign w:val="top"/>
          </w:tcPr>
          <w:p>
            <w:r/>
            <w:r>
              <w:rPr>
                <w:rFonts w:ascii="Arial" w:hAnsi="Arial"/>
                <w:b w:val="0"/>
                <w:sz w:val="16"/>
              </w:rPr>
              <w:t>Average Grade</w:t>
            </w:r>
          </w:p>
        </w:tc>
        <w:tc>
          <w:tcPr>
            <w:tcW w:type="dxa" w:w="4320"/>
            <w:vAlign w:val="top"/>
          </w:tcPr>
          <w:p>
            <w:r/>
            <w:r>
              <w:rPr>
                <w:rFonts w:ascii="Arial" w:hAnsi="Arial"/>
                <w:b w:val="0"/>
                <w:sz w:val="16"/>
              </w:rPr>
              <w:t>Average final grade by section, assignment, or time period</w:t>
            </w:r>
          </w:p>
        </w:tc>
        <w:tc>
          <w:tcPr>
            <w:tcW w:type="dxa" w:w="3456"/>
            <w:vAlign w:val="top"/>
          </w:tcPr>
          <w:p>
            <w:r/>
            <w:r>
              <w:rPr>
                <w:rFonts w:ascii="Arial" w:hAnsi="Arial"/>
                <w:b w:val="0"/>
                <w:sz w:val="16"/>
              </w:rPr>
              <w:t>Shows student performance trends</w:t>
            </w:r>
          </w:p>
        </w:tc>
      </w:tr>
      <w:tr>
        <w:tc>
          <w:tcPr>
            <w:tcW w:type="dxa" w:w="2304"/>
            <w:vAlign w:val="top"/>
          </w:tcPr>
          <w:p>
            <w:r/>
            <w:r>
              <w:rPr>
                <w:rFonts w:ascii="Arial" w:hAnsi="Arial"/>
                <w:b w:val="0"/>
                <w:sz w:val="16"/>
              </w:rPr>
              <w:t>False Rejection Rate</w:t>
            </w:r>
          </w:p>
        </w:tc>
        <w:tc>
          <w:tcPr>
            <w:tcW w:type="dxa" w:w="4320"/>
            <w:vAlign w:val="top"/>
          </w:tcPr>
          <w:p>
            <w:r/>
            <w:r>
              <w:rPr>
                <w:rFonts w:ascii="Arial" w:hAnsi="Arial"/>
                <w:b w:val="0"/>
                <w:sz w:val="16"/>
              </w:rPr>
              <w:t>Manual pass cases that AI/Python rejected</w:t>
            </w:r>
          </w:p>
        </w:tc>
        <w:tc>
          <w:tcPr>
            <w:tcW w:type="dxa" w:w="3456"/>
            <w:vAlign w:val="top"/>
          </w:tcPr>
          <w:p>
            <w:r/>
            <w:r>
              <w:rPr>
                <w:rFonts w:ascii="Arial" w:hAnsi="Arial"/>
                <w:b w:val="0"/>
                <w:sz w:val="16"/>
              </w:rPr>
              <w:t>Protects student experience</w:t>
            </w:r>
          </w:p>
        </w:tc>
      </w:tr>
      <w:tr>
        <w:tc>
          <w:tcPr>
            <w:tcW w:type="dxa" w:w="2304"/>
            <w:vAlign w:val="top"/>
          </w:tcPr>
          <w:p>
            <w:r/>
            <w:r>
              <w:rPr>
                <w:rFonts w:ascii="Arial" w:hAnsi="Arial"/>
                <w:b w:val="0"/>
                <w:sz w:val="16"/>
              </w:rPr>
              <w:t>Time Saved Estimate</w:t>
            </w:r>
          </w:p>
        </w:tc>
        <w:tc>
          <w:tcPr>
            <w:tcW w:type="dxa" w:w="4320"/>
            <w:vAlign w:val="top"/>
          </w:tcPr>
          <w:p>
            <w:r/>
            <w:r>
              <w:rPr>
                <w:rFonts w:ascii="Arial" w:hAnsi="Arial"/>
                <w:b w:val="0"/>
                <w:sz w:val="16"/>
              </w:rPr>
              <w:t>Automated submissions x manual grading minutes avoided</w:t>
            </w:r>
          </w:p>
        </w:tc>
        <w:tc>
          <w:tcPr>
            <w:tcW w:type="dxa" w:w="3456"/>
            <w:vAlign w:val="top"/>
          </w:tcPr>
          <w:p>
            <w:r/>
            <w:r>
              <w:rPr>
                <w:rFonts w:ascii="Arial" w:hAnsi="Arial"/>
                <w:b w:val="0"/>
                <w:sz w:val="16"/>
              </w:rPr>
              <w:t>Quantifies business impact</w:t>
            </w:r>
          </w:p>
        </w:tc>
      </w:tr>
      <w:tr>
        <w:tc>
          <w:tcPr>
            <w:tcW w:type="dxa" w:w="2304"/>
            <w:vAlign w:val="top"/>
          </w:tcPr>
          <w:p>
            <w:r/>
            <w:r>
              <w:rPr>
                <w:rFonts w:ascii="Arial" w:hAnsi="Arial"/>
                <w:b w:val="0"/>
                <w:sz w:val="16"/>
              </w:rPr>
              <w:t>Email Success Rate</w:t>
            </w:r>
          </w:p>
        </w:tc>
        <w:tc>
          <w:tcPr>
            <w:tcW w:type="dxa" w:w="4320"/>
            <w:vAlign w:val="top"/>
          </w:tcPr>
          <w:p>
            <w:r/>
            <w:r>
              <w:rPr>
                <w:rFonts w:ascii="Arial" w:hAnsi="Arial"/>
                <w:b w:val="0"/>
                <w:sz w:val="16"/>
              </w:rPr>
              <w:t>Successful email events / total email attempts</w:t>
            </w:r>
          </w:p>
        </w:tc>
        <w:tc>
          <w:tcPr>
            <w:tcW w:type="dxa" w:w="3456"/>
            <w:vAlign w:val="top"/>
          </w:tcPr>
          <w:p>
            <w:r/>
            <w:r>
              <w:rPr>
                <w:rFonts w:ascii="Arial" w:hAnsi="Arial"/>
                <w:b w:val="0"/>
                <w:sz w:val="16"/>
              </w:rPr>
              <w:t>Monitors communication reliability</w:t>
            </w:r>
          </w:p>
        </w:tc>
      </w:tr>
      <w:tr>
        <w:tc>
          <w:tcPr>
            <w:tcW w:type="dxa" w:w="2304"/>
            <w:vAlign w:val="top"/>
          </w:tcPr>
          <w:p>
            <w:r/>
            <w:r>
              <w:rPr>
                <w:rFonts w:ascii="Arial" w:hAnsi="Arial"/>
                <w:b w:val="0"/>
                <w:sz w:val="16"/>
              </w:rPr>
              <w:t>Top Escalation Reasons</w:t>
            </w:r>
          </w:p>
        </w:tc>
        <w:tc>
          <w:tcPr>
            <w:tcW w:type="dxa" w:w="4320"/>
            <w:vAlign w:val="top"/>
          </w:tcPr>
          <w:p>
            <w:r/>
            <w:r>
              <w:rPr>
                <w:rFonts w:ascii="Arial" w:hAnsi="Arial"/>
                <w:b w:val="0"/>
                <w:sz w:val="16"/>
              </w:rPr>
              <w:t>Count by standardized reason code</w:t>
            </w:r>
          </w:p>
        </w:tc>
        <w:tc>
          <w:tcPr>
            <w:tcW w:type="dxa" w:w="3456"/>
            <w:vAlign w:val="top"/>
          </w:tcPr>
          <w:p>
            <w:r/>
            <w:r>
              <w:rPr>
                <w:rFonts w:ascii="Arial" w:hAnsi="Arial"/>
                <w:b w:val="0"/>
                <w:sz w:val="16"/>
              </w:rPr>
              <w:t>Shows where assignments or instructions need improvement</w:t>
            </w:r>
          </w:p>
        </w:tc>
      </w:tr>
    </w:tbl>
    <w:p>
      <w:pPr>
        <w:spacing w:after="100"/>
      </w:pPr>
    </w:p>
    <w:p>
      <w:pPr>
        <w:pStyle w:val="Heading2"/>
        <w:spacing w:after="80" w:before="160"/>
      </w:pPr>
      <w:r>
        <w:t>Recommended dashboard pages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center"/>
          </w:tcPr>
          <w:p>
            <w:r/>
            <w:r>
              <w:rPr>
                <w:rFonts w:ascii="Arial" w:hAnsi="Arial"/>
                <w:b/>
                <w:color w:val="FFFFFF"/>
                <w:sz w:val="16"/>
              </w:rPr>
              <w:t>Page</w:t>
            </w:r>
          </w:p>
        </w:tc>
        <w:tc>
          <w:tcPr>
            <w:tcW w:type="dxa" w:w="2880"/>
            <w:shd w:fill="1F4E79"/>
            <w:vAlign w:val="center"/>
          </w:tcPr>
          <w:p>
            <w:r/>
            <w:r>
              <w:rPr>
                <w:rFonts w:ascii="Arial" w:hAnsi="Arial"/>
                <w:b/>
                <w:color w:val="FFFFFF"/>
                <w:sz w:val="16"/>
              </w:rPr>
              <w:t>Audience</w:t>
            </w:r>
          </w:p>
        </w:tc>
        <w:tc>
          <w:tcPr>
            <w:tcW w:type="dxa" w:w="4896"/>
            <w:shd w:fill="1F4E79"/>
            <w:vAlign w:val="center"/>
          </w:tcPr>
          <w:p>
            <w:r/>
            <w:r>
              <w:rPr>
                <w:rFonts w:ascii="Arial" w:hAnsi="Arial"/>
                <w:b/>
                <w:color w:val="FFFFFF"/>
                <w:sz w:val="16"/>
              </w:rPr>
              <w:t>Main visuals</w:t>
            </w:r>
          </w:p>
        </w:tc>
      </w:tr>
      <w:tr>
        <w:tc>
          <w:tcPr>
            <w:tcW w:type="dxa" w:w="2304"/>
            <w:vAlign w:val="top"/>
          </w:tcPr>
          <w:p>
            <w:r/>
            <w:r>
              <w:rPr>
                <w:rFonts w:ascii="Arial" w:hAnsi="Arial"/>
                <w:b w:val="0"/>
                <w:sz w:val="16"/>
              </w:rPr>
              <w:t>Executive Overview</w:t>
            </w:r>
          </w:p>
        </w:tc>
        <w:tc>
          <w:tcPr>
            <w:tcW w:type="dxa" w:w="2880"/>
            <w:vAlign w:val="top"/>
          </w:tcPr>
          <w:p>
            <w:r/>
            <w:r>
              <w:rPr>
                <w:rFonts w:ascii="Arial" w:hAnsi="Arial"/>
                <w:b w:val="0"/>
                <w:sz w:val="16"/>
              </w:rPr>
              <w:t>Leadership / program managers</w:t>
            </w:r>
          </w:p>
        </w:tc>
        <w:tc>
          <w:tcPr>
            <w:tcW w:type="dxa" w:w="4896"/>
            <w:vAlign w:val="top"/>
          </w:tcPr>
          <w:p>
            <w:r/>
            <w:r>
              <w:rPr>
                <w:rFonts w:ascii="Arial" w:hAnsi="Arial"/>
                <w:b w:val="0"/>
                <w:sz w:val="16"/>
              </w:rPr>
              <w:t>Automation rate, escalation rate, time saved, grade distribution</w:t>
            </w:r>
          </w:p>
        </w:tc>
      </w:tr>
      <w:tr>
        <w:tc>
          <w:tcPr>
            <w:tcW w:type="dxa" w:w="2304"/>
            <w:vAlign w:val="top"/>
          </w:tcPr>
          <w:p>
            <w:r/>
            <w:r>
              <w:rPr>
                <w:rFonts w:ascii="Arial" w:hAnsi="Arial"/>
                <w:b w:val="0"/>
                <w:sz w:val="16"/>
              </w:rPr>
              <w:t>Instructor Workload</w:t>
            </w:r>
          </w:p>
        </w:tc>
        <w:tc>
          <w:tcPr>
            <w:tcW w:type="dxa" w:w="2880"/>
            <w:vAlign w:val="top"/>
          </w:tcPr>
          <w:p>
            <w:r/>
            <w:r>
              <w:rPr>
                <w:rFonts w:ascii="Arial" w:hAnsi="Arial"/>
                <w:b w:val="0"/>
                <w:sz w:val="16"/>
              </w:rPr>
              <w:t>Instructors / mentors</w:t>
            </w:r>
          </w:p>
        </w:tc>
        <w:tc>
          <w:tcPr>
            <w:tcW w:type="dxa" w:w="4896"/>
            <w:vAlign w:val="top"/>
          </w:tcPr>
          <w:p>
            <w:r/>
            <w:r>
              <w:rPr>
                <w:rFonts w:ascii="Arial" w:hAnsi="Arial"/>
                <w:b w:val="0"/>
                <w:sz w:val="16"/>
              </w:rPr>
              <w:t>Escalation queue, reason trends, section-level workload</w:t>
            </w:r>
          </w:p>
        </w:tc>
      </w:tr>
      <w:tr>
        <w:tc>
          <w:tcPr>
            <w:tcW w:type="dxa" w:w="2304"/>
            <w:vAlign w:val="top"/>
          </w:tcPr>
          <w:p>
            <w:r/>
            <w:r>
              <w:rPr>
                <w:rFonts w:ascii="Arial" w:hAnsi="Arial"/>
                <w:b w:val="0"/>
                <w:sz w:val="16"/>
              </w:rPr>
              <w:t>AI Quality Monitor</w:t>
            </w:r>
          </w:p>
        </w:tc>
        <w:tc>
          <w:tcPr>
            <w:tcW w:type="dxa" w:w="2880"/>
            <w:vAlign w:val="top"/>
          </w:tcPr>
          <w:p>
            <w:r/>
            <w:r>
              <w:rPr>
                <w:rFonts w:ascii="Arial" w:hAnsi="Arial"/>
                <w:b w:val="0"/>
                <w:sz w:val="16"/>
              </w:rPr>
              <w:t>Technical reviewers</w:t>
            </w:r>
          </w:p>
        </w:tc>
        <w:tc>
          <w:tcPr>
            <w:tcW w:type="dxa" w:w="4896"/>
            <w:vAlign w:val="top"/>
          </w:tcPr>
          <w:p>
            <w:r/>
            <w:r>
              <w:rPr>
                <w:rFonts w:ascii="Arial" w:hAnsi="Arial"/>
                <w:b w:val="0"/>
                <w:sz w:val="16"/>
              </w:rPr>
              <w:t>AI/Python agreement, confidence distribution, false rejections, benchmark trends</w:t>
            </w:r>
          </w:p>
        </w:tc>
      </w:tr>
      <w:tr>
        <w:tc>
          <w:tcPr>
            <w:tcW w:type="dxa" w:w="2304"/>
            <w:vAlign w:val="top"/>
          </w:tcPr>
          <w:p>
            <w:r/>
            <w:r>
              <w:rPr>
                <w:rFonts w:ascii="Arial" w:hAnsi="Arial"/>
                <w:b w:val="0"/>
                <w:sz w:val="16"/>
              </w:rPr>
              <w:t>Student Performance</w:t>
            </w:r>
          </w:p>
        </w:tc>
        <w:tc>
          <w:tcPr>
            <w:tcW w:type="dxa" w:w="2880"/>
            <w:vAlign w:val="top"/>
          </w:tcPr>
          <w:p>
            <w:r/>
            <w:r>
              <w:rPr>
                <w:rFonts w:ascii="Arial" w:hAnsi="Arial"/>
                <w:b w:val="0"/>
                <w:sz w:val="16"/>
              </w:rPr>
              <w:t>Program team</w:t>
            </w:r>
          </w:p>
        </w:tc>
        <w:tc>
          <w:tcPr>
            <w:tcW w:type="dxa" w:w="4896"/>
            <w:vAlign w:val="top"/>
          </w:tcPr>
          <w:p>
            <w:r/>
            <w:r>
              <w:rPr>
                <w:rFonts w:ascii="Arial" w:hAnsi="Arial"/>
                <w:b w:val="0"/>
                <w:sz w:val="16"/>
              </w:rPr>
              <w:t>Repeated low grades, assignment difficulty, section comparison</w:t>
            </w:r>
          </w:p>
        </w:tc>
      </w:tr>
      <w:tr>
        <w:tc>
          <w:tcPr>
            <w:tcW w:type="dxa" w:w="2304"/>
            <w:vAlign w:val="top"/>
          </w:tcPr>
          <w:p>
            <w:r/>
            <w:r>
              <w:rPr>
                <w:rFonts w:ascii="Arial" w:hAnsi="Arial"/>
                <w:b w:val="0"/>
                <w:sz w:val="16"/>
              </w:rPr>
              <w:t>Operations Monitor</w:t>
            </w:r>
          </w:p>
        </w:tc>
        <w:tc>
          <w:tcPr>
            <w:tcW w:type="dxa" w:w="2880"/>
            <w:vAlign w:val="top"/>
          </w:tcPr>
          <w:p>
            <w:r/>
            <w:r>
              <w:rPr>
                <w:rFonts w:ascii="Arial" w:hAnsi="Arial"/>
                <w:b w:val="0"/>
                <w:sz w:val="16"/>
              </w:rPr>
              <w:t>BI/automation owner</w:t>
            </w:r>
          </w:p>
        </w:tc>
        <w:tc>
          <w:tcPr>
            <w:tcW w:type="dxa" w:w="4896"/>
            <w:vAlign w:val="top"/>
          </w:tcPr>
          <w:p>
            <w:r/>
            <w:r>
              <w:rPr>
                <w:rFonts w:ascii="Arial" w:hAnsi="Arial"/>
                <w:b w:val="0"/>
                <w:sz w:val="16"/>
              </w:rPr>
              <w:t>Batch volume, processing errors, email status, retry counts</w:t>
            </w:r>
          </w:p>
        </w:tc>
      </w:tr>
    </w:tbl>
    <w:p>
      <w:pPr>
        <w:spacing w:after="100"/>
      </w:pPr>
    </w:p>
    <w:p>
      <w:pPr>
        <w:pStyle w:val="Heading1"/>
        <w:spacing w:after="80" w:before="160"/>
      </w:pPr>
      <w:r>
        <w:t>10. Interview-Ready Language</w:t>
      </w:r>
    </w:p>
    <w:p>
      <w:pPr>
        <w:pStyle w:val="Heading2"/>
        <w:spacing w:after="80" w:before="160"/>
      </w:pPr>
      <w:r>
        <w:t>30-second overview</w:t>
      </w:r>
    </w:p>
    <w:tbl>
      <w:tblPr>
        <w:tblW w:type="auto" w:w="0"/>
        <w:jc w:val="center"/>
        <w:tblLook w:firstColumn="1" w:firstRow="1" w:lastColumn="0" w:lastRow="0" w:noHBand="0" w:noVBand="1" w:val="04A0"/>
      </w:tblPr>
      <w:tblGrid>
        <w:gridCol w:w="10224"/>
      </w:tblGrid>
      <w:tr>
        <w:tc>
          <w:tcPr>
            <w:tcW w:type="dxa" w:w="10224"/>
            <w:shd w:fill="F2F6FC"/>
            <w:tcBorders>
              <w:top w:sz="10" w:val="single" w:color="1F4E79"/>
              <w:left w:sz="10" w:val="single" w:color="1F4E79"/>
              <w:bottom w:sz="10" w:val="single" w:color="1F4E79"/>
              <w:right w:sz="10" w:val="single" w:color="1F4E79"/>
            </w:tcBorders>
          </w:tcPr>
          <w:p>
            <w:pPr>
              <w:spacing w:after="40"/>
            </w:pPr>
            <w:r/>
            <w:r>
              <w:rPr>
                <w:rFonts w:ascii="Arial" w:hAnsi="Arial"/>
                <w:b/>
                <w:color w:val="1F4E79"/>
                <w:sz w:val="20"/>
              </w:rPr>
              <w:t>Project pitch</w:t>
            </w:r>
          </w:p>
          <w:p>
            <w:pPr>
              <w:spacing w:after="0"/>
            </w:pPr>
            <w:r>
              <w:rPr>
                <w:rFonts w:ascii="Arial" w:hAnsi="Arial"/>
                <w:color w:val="1F2937"/>
                <w:sz w:val="18"/>
              </w:rPr>
              <w:t>GradeFlow is an AI-assisted autograder and BI-readiness system that automates SQL, DOCX, and paragraph assignment grading. It reads ungraded submissions from SQL Server, validates files and assignment structure with Python, uses AI for semantic grading experiments and feedback quality, routes low-confidence or failing submissions to instructor review, and stores grading metrics for Power BI dashboards. The business goal is to reduce manual grading effort while improving turnaround time, consistency, escalation visibility, and student feedback quality.</w:t>
            </w:r>
          </w:p>
        </w:tc>
      </w:tr>
    </w:tbl>
    <w:p>
      <w:pPr>
        <w:spacing w:after="100"/>
      </w:pPr>
    </w:p>
    <w:p>
      <w:pPr>
        <w:pStyle w:val="Heading2"/>
        <w:spacing w:after="80" w:before="160"/>
      </w:pPr>
      <w:r>
        <w:t>STAR-style answer</w:t>
      </w:r>
    </w:p>
    <w:tbl>
      <w:tblPr>
        <w:tblStyle w:val="TableGrid"/>
        <w:tblW w:type="auto" w:w="0"/>
        <w:jc w:val="center"/>
        <w:tblLook w:firstColumn="1" w:firstRow="1" w:lastColumn="0" w:lastRow="0" w:noHBand="0" w:noVBand="1" w:val="04A0"/>
      </w:tblPr>
      <w:tblGrid>
        <w:gridCol w:w="5112"/>
        <w:gridCol w:w="5112"/>
      </w:tblGrid>
      <w:tr>
        <w:tc>
          <w:tcPr>
            <w:tcW w:type="dxa" w:w="1872"/>
            <w:shd w:fill="1F4E79"/>
            <w:vAlign w:val="center"/>
          </w:tcPr>
          <w:p>
            <w:r/>
            <w:r>
              <w:rPr>
                <w:rFonts w:ascii="Arial" w:hAnsi="Arial"/>
                <w:b/>
                <w:color w:val="FFFFFF"/>
                <w:sz w:val="17"/>
              </w:rPr>
              <w:t>STAR element</w:t>
            </w:r>
          </w:p>
        </w:tc>
        <w:tc>
          <w:tcPr>
            <w:tcW w:type="dxa" w:w="8208"/>
            <w:shd w:fill="1F4E79"/>
            <w:vAlign w:val="center"/>
          </w:tcPr>
          <w:p>
            <w:r/>
            <w:r>
              <w:rPr>
                <w:rFonts w:ascii="Arial" w:hAnsi="Arial"/>
                <w:b/>
                <w:color w:val="FFFFFF"/>
                <w:sz w:val="17"/>
              </w:rPr>
              <w:t>Answer</w:t>
            </w:r>
          </w:p>
        </w:tc>
      </w:tr>
      <w:tr>
        <w:tc>
          <w:tcPr>
            <w:tcW w:type="dxa" w:w="1872"/>
            <w:vAlign w:val="top"/>
          </w:tcPr>
          <w:p>
            <w:r/>
            <w:r>
              <w:rPr>
                <w:rFonts w:ascii="Arial" w:hAnsi="Arial"/>
                <w:b w:val="0"/>
                <w:sz w:val="17"/>
              </w:rPr>
              <w:t>Situation</w:t>
            </w:r>
          </w:p>
        </w:tc>
        <w:tc>
          <w:tcPr>
            <w:tcW w:type="dxa" w:w="8208"/>
            <w:vAlign w:val="top"/>
          </w:tcPr>
          <w:p>
            <w:r/>
            <w:r>
              <w:rPr>
                <w:rFonts w:ascii="Arial" w:hAnsi="Arial"/>
                <w:b w:val="0"/>
                <w:sz w:val="17"/>
              </w:rPr>
              <w:t>Manual grading was time-consuming, inconsistent, and difficult to scale as submission volume increased.</w:t>
            </w:r>
          </w:p>
        </w:tc>
      </w:tr>
      <w:tr>
        <w:tc>
          <w:tcPr>
            <w:tcW w:type="dxa" w:w="1872"/>
            <w:vAlign w:val="top"/>
          </w:tcPr>
          <w:p>
            <w:r/>
            <w:r>
              <w:rPr>
                <w:rFonts w:ascii="Arial" w:hAnsi="Arial"/>
                <w:b w:val="0"/>
                <w:sz w:val="17"/>
              </w:rPr>
              <w:t>Task</w:t>
            </w:r>
          </w:p>
        </w:tc>
        <w:tc>
          <w:tcPr>
            <w:tcW w:type="dxa" w:w="8208"/>
            <w:vAlign w:val="top"/>
          </w:tcPr>
          <w:p>
            <w:r/>
            <w:r>
              <w:rPr>
                <w:rFonts w:ascii="Arial" w:hAnsi="Arial"/>
                <w:b w:val="0"/>
                <w:sz w:val="17"/>
              </w:rPr>
              <w:t>Design an automation pipeline that could grade straightforward submissions, escalate risky cases, and create metrics for leadership visibility.</w:t>
            </w:r>
          </w:p>
        </w:tc>
      </w:tr>
      <w:tr>
        <w:tc>
          <w:tcPr>
            <w:tcW w:type="dxa" w:w="1872"/>
            <w:vAlign w:val="top"/>
          </w:tcPr>
          <w:p>
            <w:r/>
            <w:r>
              <w:rPr>
                <w:rFonts w:ascii="Arial" w:hAnsi="Arial"/>
                <w:b w:val="0"/>
                <w:sz w:val="17"/>
              </w:rPr>
              <w:t>Action</w:t>
            </w:r>
          </w:p>
        </w:tc>
        <w:tc>
          <w:tcPr>
            <w:tcW w:type="dxa" w:w="8208"/>
            <w:vAlign w:val="top"/>
          </w:tcPr>
          <w:p>
            <w:r/>
            <w:r>
              <w:rPr>
                <w:rFonts w:ascii="Arial" w:hAnsi="Arial"/>
                <w:b w:val="0"/>
                <w:sz w:val="17"/>
              </w:rPr>
              <w:t>Built a Python/SQL Server grading workflow with file validation, grading rules, optional AI advisory grading, duplicate escalation prevention, email notifications, and test-branch AI-agent validation.</w:t>
            </w:r>
          </w:p>
        </w:tc>
      </w:tr>
      <w:tr>
        <w:tc>
          <w:tcPr>
            <w:tcW w:type="dxa" w:w="1872"/>
            <w:vAlign w:val="top"/>
          </w:tcPr>
          <w:p>
            <w:r/>
            <w:r>
              <w:rPr>
                <w:rFonts w:ascii="Arial" w:hAnsi="Arial"/>
                <w:b w:val="0"/>
                <w:sz w:val="17"/>
              </w:rPr>
              <w:t>Result</w:t>
            </w:r>
          </w:p>
        </w:tc>
        <w:tc>
          <w:tcPr>
            <w:tcW w:type="dxa" w:w="8208"/>
            <w:vAlign w:val="top"/>
          </w:tcPr>
          <w:p>
            <w:r/>
            <w:r>
              <w:rPr>
                <w:rFonts w:ascii="Arial" w:hAnsi="Arial"/>
                <w:b w:val="0"/>
                <w:sz w:val="17"/>
              </w:rPr>
              <w:t>The project demonstrates a path to reducing manual grading effort by 70-85% for repeatable cases while giving instructors a focused review queue and BI-ready metrics.</w:t>
            </w:r>
          </w:p>
        </w:tc>
      </w:tr>
    </w:tbl>
    <w:p>
      <w:pPr>
        <w:spacing w:after="100"/>
      </w:pPr>
    </w:p>
    <w:p>
      <w:pPr>
        <w:pStyle w:val="Heading2"/>
        <w:spacing w:after="80" w:before="160"/>
      </w:pPr>
      <w:r>
        <w:t>How to describe maturity honestly</w:t>
      </w:r>
    </w:p>
    <w:tbl>
      <w:tblPr>
        <w:tblStyle w:val="TableGrid"/>
        <w:tblW w:type="auto" w:w="0"/>
        <w:jc w:val="center"/>
        <w:tblLook w:firstColumn="1" w:firstRow="1" w:lastColumn="0" w:lastRow="0" w:noHBand="0" w:noVBand="1" w:val="04A0"/>
      </w:tblPr>
      <w:tblGrid>
        <w:gridCol w:w="5112"/>
        <w:gridCol w:w="5112"/>
      </w:tblGrid>
      <w:tr>
        <w:tc>
          <w:tcPr>
            <w:tcW w:type="dxa" w:w="5184"/>
            <w:shd w:fill="1F4E79"/>
            <w:vAlign w:val="center"/>
          </w:tcPr>
          <w:p>
            <w:r/>
            <w:r>
              <w:rPr>
                <w:rFonts w:ascii="Arial" w:hAnsi="Arial"/>
                <w:b/>
                <w:color w:val="FFFFFF"/>
                <w:sz w:val="16"/>
              </w:rPr>
              <w:t>Do say</w:t>
            </w:r>
          </w:p>
        </w:tc>
        <w:tc>
          <w:tcPr>
            <w:tcW w:type="dxa" w:w="4896"/>
            <w:shd w:fill="1F4E79"/>
            <w:vAlign w:val="center"/>
          </w:tcPr>
          <w:p>
            <w:r/>
            <w:r>
              <w:rPr>
                <w:rFonts w:ascii="Arial" w:hAnsi="Arial"/>
                <w:b/>
                <w:color w:val="FFFFFF"/>
                <w:sz w:val="16"/>
              </w:rPr>
              <w:t>Avoid saying</w:t>
            </w:r>
          </w:p>
        </w:tc>
      </w:tr>
      <w:tr>
        <w:tc>
          <w:tcPr>
            <w:tcW w:type="dxa" w:w="5184"/>
            <w:vAlign w:val="top"/>
          </w:tcPr>
          <w:p>
            <w:r/>
            <w:r>
              <w:rPr>
                <w:rFonts w:ascii="Arial" w:hAnsi="Arial"/>
                <w:b w:val="0"/>
                <w:sz w:val="16"/>
              </w:rPr>
              <w:t>Phase 1 production pipeline with AI-assisted grading and a testing branch for agent-based grading</w:t>
            </w:r>
          </w:p>
        </w:tc>
        <w:tc>
          <w:tcPr>
            <w:tcW w:type="dxa" w:w="4896"/>
            <w:vAlign w:val="top"/>
          </w:tcPr>
          <w:p>
            <w:r/>
            <w:r>
              <w:rPr>
                <w:rFonts w:ascii="Arial" w:hAnsi="Arial"/>
                <w:b w:val="0"/>
                <w:sz w:val="16"/>
              </w:rPr>
              <w:t>Fully autonomous enterprise grading platform</w:t>
            </w:r>
          </w:p>
        </w:tc>
      </w:tr>
      <w:tr>
        <w:tc>
          <w:tcPr>
            <w:tcW w:type="dxa" w:w="5184"/>
            <w:vAlign w:val="top"/>
          </w:tcPr>
          <w:p>
            <w:r/>
            <w:r>
              <w:rPr>
                <w:rFonts w:ascii="Arial" w:hAnsi="Arial"/>
                <w:b w:val="0"/>
                <w:sz w:val="16"/>
              </w:rPr>
              <w:t>Python validation is the production authority; AI is being evaluated through advisory/shadow comparison</w:t>
            </w:r>
          </w:p>
        </w:tc>
        <w:tc>
          <w:tcPr>
            <w:tcW w:type="dxa" w:w="4896"/>
            <w:vAlign w:val="top"/>
          </w:tcPr>
          <w:p>
            <w:r/>
            <w:r>
              <w:rPr>
                <w:rFonts w:ascii="Arial" w:hAnsi="Arial"/>
                <w:b w:val="0"/>
                <w:sz w:val="16"/>
              </w:rPr>
              <w:t>AI independently grades all submissions in production</w:t>
            </w:r>
          </w:p>
        </w:tc>
      </w:tr>
      <w:tr>
        <w:tc>
          <w:tcPr>
            <w:tcW w:type="dxa" w:w="5184"/>
            <w:vAlign w:val="top"/>
          </w:tcPr>
          <w:p>
            <w:r/>
            <w:r>
              <w:rPr>
                <w:rFonts w:ascii="Arial" w:hAnsi="Arial"/>
                <w:b w:val="0"/>
                <w:sz w:val="16"/>
              </w:rPr>
              <w:t>Power BI metrics are supported by current fields and need a cleaner star-schema model</w:t>
            </w:r>
          </w:p>
        </w:tc>
        <w:tc>
          <w:tcPr>
            <w:tcW w:type="dxa" w:w="4896"/>
            <w:vAlign w:val="top"/>
          </w:tcPr>
          <w:p>
            <w:r/>
            <w:r>
              <w:rPr>
                <w:rFonts w:ascii="Arial" w:hAnsi="Arial"/>
                <w:b w:val="0"/>
                <w:sz w:val="16"/>
              </w:rPr>
              <w:t>The full enterprise dashboard model is already complete</w:t>
            </w:r>
          </w:p>
        </w:tc>
      </w:tr>
      <w:tr>
        <w:tc>
          <w:tcPr>
            <w:tcW w:type="dxa" w:w="5184"/>
            <w:vAlign w:val="top"/>
          </w:tcPr>
          <w:p>
            <w:r/>
            <w:r>
              <w:rPr>
                <w:rFonts w:ascii="Arial" w:hAnsi="Arial"/>
                <w:b w:val="0"/>
                <w:sz w:val="16"/>
              </w:rPr>
              <w:t>Queue orchestration, confidence persistence, and audit/event logging are planned enterprise improvements</w:t>
            </w:r>
          </w:p>
        </w:tc>
        <w:tc>
          <w:tcPr>
            <w:tcW w:type="dxa" w:w="4896"/>
            <w:vAlign w:val="top"/>
          </w:tcPr>
          <w:p>
            <w:r/>
            <w:r>
              <w:rPr>
                <w:rFonts w:ascii="Arial" w:hAnsi="Arial"/>
                <w:b w:val="0"/>
                <w:sz w:val="16"/>
              </w:rPr>
              <w:t>The system already has full cloud-native orchestration</w:t>
            </w:r>
          </w:p>
        </w:tc>
      </w:tr>
    </w:tbl>
    <w:p>
      <w:pPr>
        <w:spacing w:after="100"/>
      </w:pPr>
    </w:p>
    <w:p>
      <w:pPr>
        <w:spacing w:after="100"/>
      </w:pPr>
      <w:r>
        <w:br w:type="page"/>
      </w:r>
    </w:p>
    <w:p>
      <w:pPr>
        <w:pStyle w:val="Heading1"/>
        <w:spacing w:after="80" w:before="160"/>
      </w:pPr>
      <w:r>
        <w:t>11. Immediate Next Steps</w:t>
      </w:r>
    </w:p>
    <w:p>
      <w:pPr>
        <w:pStyle w:val="Heading2"/>
        <w:spacing w:after="80" w:before="160"/>
      </w:pPr>
      <w:r>
        <w:t>Recommended next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1F4E79"/>
            <w:vAlign w:val="center"/>
          </w:tcPr>
          <w:p>
            <w:r/>
            <w:r>
              <w:rPr>
                <w:rFonts w:ascii="Arial" w:hAnsi="Arial"/>
                <w:b/>
                <w:color w:val="FFFFFF"/>
                <w:sz w:val="17"/>
              </w:rPr>
              <w:t>Order</w:t>
            </w:r>
          </w:p>
        </w:tc>
        <w:tc>
          <w:tcPr>
            <w:tcW w:type="dxa" w:w="3888"/>
            <w:shd w:fill="1F4E79"/>
            <w:vAlign w:val="center"/>
          </w:tcPr>
          <w:p>
            <w:r/>
            <w:r>
              <w:rPr>
                <w:rFonts w:ascii="Arial" w:hAnsi="Arial"/>
                <w:b/>
                <w:color w:val="FFFFFF"/>
                <w:sz w:val="17"/>
              </w:rPr>
              <w:t>Deliverable</w:t>
            </w:r>
          </w:p>
        </w:tc>
        <w:tc>
          <w:tcPr>
            <w:tcW w:type="dxa" w:w="5184"/>
            <w:shd w:fill="1F4E79"/>
            <w:vAlign w:val="center"/>
          </w:tcPr>
          <w:p>
            <w:r/>
            <w:r>
              <w:rPr>
                <w:rFonts w:ascii="Arial" w:hAnsi="Arial"/>
                <w:b/>
                <w:color w:val="FFFFFF"/>
                <w:sz w:val="17"/>
              </w:rPr>
              <w:t>Purpose</w:t>
            </w:r>
          </w:p>
        </w:tc>
      </w:tr>
      <w:tr>
        <w:tc>
          <w:tcPr>
            <w:tcW w:type="dxa" w:w="1152"/>
            <w:vAlign w:val="top"/>
          </w:tcPr>
          <w:p>
            <w:r/>
            <w:r>
              <w:rPr>
                <w:rFonts w:ascii="Arial" w:hAnsi="Arial"/>
                <w:b w:val="0"/>
                <w:sz w:val="17"/>
              </w:rPr>
              <w:t>1</w:t>
            </w:r>
          </w:p>
        </w:tc>
        <w:tc>
          <w:tcPr>
            <w:tcW w:type="dxa" w:w="3888"/>
            <w:vAlign w:val="top"/>
          </w:tcPr>
          <w:p>
            <w:r/>
            <w:r>
              <w:rPr>
                <w:rFonts w:ascii="Arial" w:hAnsi="Arial"/>
                <w:b w:val="0"/>
                <w:sz w:val="17"/>
              </w:rPr>
              <w:t>GradeFlow dashboard requirements document</w:t>
            </w:r>
          </w:p>
        </w:tc>
        <w:tc>
          <w:tcPr>
            <w:tcW w:type="dxa" w:w="5184"/>
            <w:vAlign w:val="top"/>
          </w:tcPr>
          <w:p>
            <w:r/>
            <w:r>
              <w:rPr>
                <w:rFonts w:ascii="Arial" w:hAnsi="Arial"/>
                <w:b w:val="0"/>
                <w:sz w:val="17"/>
              </w:rPr>
              <w:t>Defines KPIs, pages, filters, grain, and stakeholder questions</w:t>
            </w:r>
          </w:p>
        </w:tc>
      </w:tr>
      <w:tr>
        <w:tc>
          <w:tcPr>
            <w:tcW w:type="dxa" w:w="1152"/>
            <w:vAlign w:val="top"/>
          </w:tcPr>
          <w:p>
            <w:r/>
            <w:r>
              <w:rPr>
                <w:rFonts w:ascii="Arial" w:hAnsi="Arial"/>
                <w:b w:val="0"/>
                <w:sz w:val="17"/>
              </w:rPr>
              <w:t>2</w:t>
            </w:r>
          </w:p>
        </w:tc>
        <w:tc>
          <w:tcPr>
            <w:tcW w:type="dxa" w:w="3888"/>
            <w:vAlign w:val="top"/>
          </w:tcPr>
          <w:p>
            <w:r/>
            <w:r>
              <w:rPr>
                <w:rFonts w:ascii="Arial" w:hAnsi="Arial"/>
                <w:b w:val="0"/>
                <w:sz w:val="17"/>
              </w:rPr>
              <w:t>GradeFlow data model specification</w:t>
            </w:r>
          </w:p>
        </w:tc>
        <w:tc>
          <w:tcPr>
            <w:tcW w:type="dxa" w:w="5184"/>
            <w:vAlign w:val="top"/>
          </w:tcPr>
          <w:p>
            <w:r/>
            <w:r>
              <w:rPr>
                <w:rFonts w:ascii="Arial" w:hAnsi="Arial"/>
                <w:b w:val="0"/>
                <w:sz w:val="17"/>
              </w:rPr>
              <w:t>Turns operational tables into a star-schema BI model</w:t>
            </w:r>
          </w:p>
        </w:tc>
      </w:tr>
      <w:tr>
        <w:tc>
          <w:tcPr>
            <w:tcW w:type="dxa" w:w="1152"/>
            <w:vAlign w:val="top"/>
          </w:tcPr>
          <w:p>
            <w:r/>
            <w:r>
              <w:rPr>
                <w:rFonts w:ascii="Arial" w:hAnsi="Arial"/>
                <w:b w:val="0"/>
                <w:sz w:val="17"/>
              </w:rPr>
              <w:t>3</w:t>
            </w:r>
          </w:p>
        </w:tc>
        <w:tc>
          <w:tcPr>
            <w:tcW w:type="dxa" w:w="3888"/>
            <w:vAlign w:val="top"/>
          </w:tcPr>
          <w:p>
            <w:r/>
            <w:r>
              <w:rPr>
                <w:rFonts w:ascii="Arial" w:hAnsi="Arial"/>
                <w:b w:val="0"/>
                <w:sz w:val="17"/>
              </w:rPr>
              <w:t>Autograder decision-rules matrix</w:t>
            </w:r>
          </w:p>
        </w:tc>
        <w:tc>
          <w:tcPr>
            <w:tcW w:type="dxa" w:w="5184"/>
            <w:vAlign w:val="top"/>
          </w:tcPr>
          <w:p>
            <w:r/>
            <w:r>
              <w:rPr>
                <w:rFonts w:ascii="Arial" w:hAnsi="Arial"/>
                <w:b w:val="0"/>
                <w:sz w:val="17"/>
              </w:rPr>
              <w:t>Creates one approved source of truth for grade and escalation routing</w:t>
            </w:r>
          </w:p>
        </w:tc>
      </w:tr>
      <w:tr>
        <w:tc>
          <w:tcPr>
            <w:tcW w:type="dxa" w:w="1152"/>
            <w:vAlign w:val="top"/>
          </w:tcPr>
          <w:p>
            <w:r/>
            <w:r>
              <w:rPr>
                <w:rFonts w:ascii="Arial" w:hAnsi="Arial"/>
                <w:b w:val="0"/>
                <w:sz w:val="17"/>
              </w:rPr>
              <w:t>4</w:t>
            </w:r>
          </w:p>
        </w:tc>
        <w:tc>
          <w:tcPr>
            <w:tcW w:type="dxa" w:w="3888"/>
            <w:vAlign w:val="top"/>
          </w:tcPr>
          <w:p>
            <w:r/>
            <w:r>
              <w:rPr>
                <w:rFonts w:ascii="Arial" w:hAnsi="Arial"/>
                <w:b w:val="0"/>
                <w:sz w:val="17"/>
              </w:rPr>
              <w:t>Benchmark expansion plan</w:t>
            </w:r>
          </w:p>
        </w:tc>
        <w:tc>
          <w:tcPr>
            <w:tcW w:type="dxa" w:w="5184"/>
            <w:vAlign w:val="top"/>
          </w:tcPr>
          <w:p>
            <w:r/>
            <w:r>
              <w:rPr>
                <w:rFonts w:ascii="Arial" w:hAnsi="Arial"/>
                <w:b w:val="0"/>
                <w:sz w:val="17"/>
              </w:rPr>
              <w:t>Defines labeled test cases for SQL, DOCX, paragraph, empty, malformed, and borderline submissions</w:t>
            </w:r>
          </w:p>
        </w:tc>
      </w:tr>
      <w:tr>
        <w:tc>
          <w:tcPr>
            <w:tcW w:type="dxa" w:w="1152"/>
            <w:vAlign w:val="top"/>
          </w:tcPr>
          <w:p>
            <w:r/>
            <w:r>
              <w:rPr>
                <w:rFonts w:ascii="Arial" w:hAnsi="Arial"/>
                <w:b w:val="0"/>
                <w:sz w:val="17"/>
              </w:rPr>
              <w:t>5</w:t>
            </w:r>
          </w:p>
        </w:tc>
        <w:tc>
          <w:tcPr>
            <w:tcW w:type="dxa" w:w="3888"/>
            <w:vAlign w:val="top"/>
          </w:tcPr>
          <w:p>
            <w:r/>
            <w:r>
              <w:rPr>
                <w:rFonts w:ascii="Arial" w:hAnsi="Arial"/>
                <w:b w:val="0"/>
                <w:sz w:val="17"/>
              </w:rPr>
              <w:t>Power BI wireframe</w:t>
            </w:r>
          </w:p>
        </w:tc>
        <w:tc>
          <w:tcPr>
            <w:tcW w:type="dxa" w:w="5184"/>
            <w:vAlign w:val="top"/>
          </w:tcPr>
          <w:p>
            <w:r/>
            <w:r>
              <w:rPr>
                <w:rFonts w:ascii="Arial" w:hAnsi="Arial"/>
                <w:b w:val="0"/>
                <w:sz w:val="17"/>
              </w:rPr>
              <w:t>Shows how leadership and instructors will consume the metrics</w:t>
            </w:r>
          </w:p>
        </w:tc>
      </w:tr>
      <w:tr>
        <w:tc>
          <w:tcPr>
            <w:tcW w:type="dxa" w:w="1152"/>
            <w:vAlign w:val="top"/>
          </w:tcPr>
          <w:p>
            <w:r/>
            <w:r>
              <w:rPr>
                <w:rFonts w:ascii="Arial" w:hAnsi="Arial"/>
                <w:b w:val="0"/>
                <w:sz w:val="17"/>
              </w:rPr>
              <w:t>6</w:t>
            </w:r>
          </w:p>
        </w:tc>
        <w:tc>
          <w:tcPr>
            <w:tcW w:type="dxa" w:w="3888"/>
            <w:vAlign w:val="top"/>
          </w:tcPr>
          <w:p>
            <w:r/>
            <w:r>
              <w:rPr>
                <w:rFonts w:ascii="Arial" w:hAnsi="Arial"/>
                <w:b w:val="0"/>
                <w:sz w:val="17"/>
              </w:rPr>
              <w:t>Testing remediation checklist</w:t>
            </w:r>
          </w:p>
        </w:tc>
        <w:tc>
          <w:tcPr>
            <w:tcW w:type="dxa" w:w="5184"/>
            <w:vAlign w:val="top"/>
          </w:tcPr>
          <w:p>
            <w:r/>
            <w:r>
              <w:rPr>
                <w:rFonts w:ascii="Arial" w:hAnsi="Arial"/>
                <w:b w:val="0"/>
                <w:sz w:val="17"/>
              </w:rPr>
              <w:t>Aligns unit tests with approved thresholds and promotion gates</w:t>
            </w:r>
          </w:p>
        </w:tc>
      </w:tr>
    </w:tbl>
    <w:p>
      <w:pPr>
        <w:spacing w:after="100"/>
      </w:pPr>
    </w:p>
    <w:p>
      <w:pPr>
        <w:pStyle w:val="Heading2"/>
        <w:spacing w:after="80" w:before="160"/>
      </w:pPr>
      <w:r>
        <w:t>30-day practical plan</w:t>
      </w:r>
    </w:p>
    <w:p>
      <w:pPr>
        <w:pStyle w:val="ListBullet"/>
        <w:spacing w:after="100"/>
      </w:pPr>
      <w:r>
        <w:rPr>
          <w:rFonts w:ascii="Arial" w:hAnsi="Arial"/>
        </w:rPr>
        <w:t>Week 1: Standardize escalation thresholds and create a decision-rules matrix.</w:t>
      </w:r>
    </w:p>
    <w:p>
      <w:pPr>
        <w:pStyle w:val="ListBullet"/>
        <w:spacing w:after="100"/>
      </w:pPr>
      <w:r>
        <w:rPr>
          <w:rFonts w:ascii="Arial" w:hAnsi="Arial"/>
        </w:rPr>
        <w:t>Week 2: Add confidence, AIGrade, PythonGrade, FinalGrade, and GradeDelta fields to the test output model.</w:t>
      </w:r>
    </w:p>
    <w:p>
      <w:pPr>
        <w:pStyle w:val="ListBullet"/>
        <w:spacing w:after="100"/>
      </w:pPr>
      <w:r>
        <w:rPr>
          <w:rFonts w:ascii="Arial" w:hAnsi="Arial"/>
        </w:rPr>
        <w:t>Week 3: Expand benchmark_truth to at least 50 labeled cases and rerun benchmark scripts.</w:t>
      </w:r>
    </w:p>
    <w:p>
      <w:pPr>
        <w:pStyle w:val="ListBullet"/>
        <w:spacing w:after="100"/>
      </w:pPr>
      <w:r>
        <w:rPr>
          <w:rFonts w:ascii="Arial" w:hAnsi="Arial"/>
        </w:rPr>
        <w:t>Week 4: Build the first Power BI dashboard page using automation rate, escalation rate, grade distribution, and reason-code mix.</w:t>
      </w:r>
    </w:p>
    <w:tbl>
      <w:tblPr>
        <w:tblW w:type="auto" w:w="0"/>
        <w:jc w:val="center"/>
        <w:tblLook w:firstColumn="1" w:firstRow="1" w:lastColumn="0" w:lastRow="0" w:noHBand="0" w:noVBand="1" w:val="04A0"/>
      </w:tblPr>
      <w:tblGrid>
        <w:gridCol w:w="10224"/>
      </w:tblGrid>
      <w:tr>
        <w:tc>
          <w:tcPr>
            <w:tcW w:type="dxa" w:w="10224"/>
            <w:shd w:fill="E2F0D9"/>
            <w:tcBorders>
              <w:top w:sz="10" w:val="single" w:color="548235"/>
              <w:left w:sz="10" w:val="single" w:color="548235"/>
              <w:bottom w:sz="10" w:val="single" w:color="548235"/>
              <w:right w:sz="10" w:val="single" w:color="548235"/>
            </w:tcBorders>
          </w:tcPr>
          <w:p>
            <w:pPr>
              <w:spacing w:after="40"/>
            </w:pPr>
            <w:r/>
            <w:r>
              <w:rPr>
                <w:rFonts w:ascii="Arial" w:hAnsi="Arial"/>
                <w:b/>
                <w:color w:val="548235"/>
                <w:sz w:val="20"/>
              </w:rPr>
              <w:t>Bottom line</w:t>
            </w:r>
          </w:p>
          <w:p>
            <w:pPr>
              <w:spacing w:after="0"/>
            </w:pPr>
            <w:r>
              <w:rPr>
                <w:rFonts w:ascii="Arial" w:hAnsi="Arial"/>
                <w:color w:val="1F2937"/>
                <w:sz w:val="18"/>
              </w:rPr>
              <w:t>GradeFlow is already a strong BI/AI portfolio project because it connects automation, data validation, SQL Server, stakeholder workflow, email routing, and Power BI metrics. The next step is not more complexity; it is making the architecture measurable, auditable, and dashboard-ready.</w:t>
            </w:r>
          </w:p>
        </w:tc>
      </w:tr>
    </w:tbl>
    <w:p>
      <w:pPr>
        <w:spacing w:after="100"/>
      </w:pPr>
    </w:p>
    <w:p>
      <w:pPr>
        <w:pStyle w:val="Heading1"/>
        <w:spacing w:after="80" w:before="160"/>
      </w:pPr>
      <w:r>
        <w:t>Appendix A: File Inventory Reviewed</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F4E79"/>
            <w:vAlign w:val="center"/>
          </w:tcPr>
          <w:p>
            <w:r/>
            <w:r>
              <w:rPr>
                <w:rFonts w:ascii="Arial" w:hAnsi="Arial"/>
                <w:b/>
                <w:color w:val="FFFFFF"/>
                <w:sz w:val="16"/>
              </w:rPr>
              <w:t>Area</w:t>
            </w:r>
          </w:p>
        </w:tc>
        <w:tc>
          <w:tcPr>
            <w:tcW w:type="dxa" w:w="4752"/>
            <w:shd w:fill="1F4E79"/>
            <w:vAlign w:val="center"/>
          </w:tcPr>
          <w:p>
            <w:r/>
            <w:r>
              <w:rPr>
                <w:rFonts w:ascii="Arial" w:hAnsi="Arial"/>
                <w:b/>
                <w:color w:val="FFFFFF"/>
                <w:sz w:val="16"/>
              </w:rPr>
              <w:t>Representative files</w:t>
            </w:r>
          </w:p>
        </w:tc>
        <w:tc>
          <w:tcPr>
            <w:tcW w:type="dxa" w:w="3456"/>
            <w:shd w:fill="1F4E79"/>
            <w:vAlign w:val="center"/>
          </w:tcPr>
          <w:p>
            <w:r/>
            <w:r>
              <w:rPr>
                <w:rFonts w:ascii="Arial" w:hAnsi="Arial"/>
                <w:b/>
                <w:color w:val="FFFFFF"/>
                <w:sz w:val="16"/>
              </w:rPr>
              <w:t>Role</w:t>
            </w:r>
          </w:p>
        </w:tc>
      </w:tr>
      <w:tr>
        <w:tc>
          <w:tcPr>
            <w:tcW w:type="dxa" w:w="1872"/>
            <w:vAlign w:val="top"/>
          </w:tcPr>
          <w:p>
            <w:r/>
            <w:r>
              <w:rPr>
                <w:rFonts w:ascii="Arial" w:hAnsi="Arial"/>
                <w:b w:val="0"/>
                <w:sz w:val="16"/>
              </w:rPr>
              <w:t>Production</w:t>
            </w:r>
          </w:p>
        </w:tc>
        <w:tc>
          <w:tcPr>
            <w:tcW w:type="dxa" w:w="4752"/>
            <w:vAlign w:val="top"/>
          </w:tcPr>
          <w:p>
            <w:r/>
            <w:r>
              <w:rPr>
                <w:rFonts w:ascii="Arial" w:hAnsi="Arial"/>
                <w:b w:val="0"/>
                <w:sz w:val="16"/>
              </w:rPr>
              <w:t>run_batch.py, autograde_tools.py, db_tools.py, email_tools.py, README.md</w:t>
            </w:r>
          </w:p>
        </w:tc>
        <w:tc>
          <w:tcPr>
            <w:tcW w:type="dxa" w:w="3456"/>
            <w:vAlign w:val="top"/>
          </w:tcPr>
          <w:p>
            <w:r/>
            <w:r>
              <w:rPr>
                <w:rFonts w:ascii="Arial" w:hAnsi="Arial"/>
                <w:b w:val="0"/>
                <w:sz w:val="16"/>
              </w:rPr>
              <w:t>Current Phase 1 batch grading system</w:t>
            </w:r>
          </w:p>
        </w:tc>
      </w:tr>
      <w:tr>
        <w:tc>
          <w:tcPr>
            <w:tcW w:type="dxa" w:w="1872"/>
            <w:vAlign w:val="top"/>
          </w:tcPr>
          <w:p>
            <w:r/>
            <w:r>
              <w:rPr>
                <w:rFonts w:ascii="Arial" w:hAnsi="Arial"/>
                <w:b w:val="0"/>
                <w:sz w:val="16"/>
              </w:rPr>
              <w:t>Testing</w:t>
            </w:r>
          </w:p>
        </w:tc>
        <w:tc>
          <w:tcPr>
            <w:tcW w:type="dxa" w:w="4752"/>
            <w:vAlign w:val="top"/>
          </w:tcPr>
          <w:p>
            <w:r/>
            <w:r>
              <w:rPr>
                <w:rFonts w:ascii="Arial" w:hAnsi="Arial"/>
                <w:b w:val="0"/>
                <w:sz w:val="16"/>
              </w:rPr>
              <w:t>autograde_agent.py, autograde_tools.py, file_tools.py, db_tools.py, run_batch.py</w:t>
            </w:r>
          </w:p>
        </w:tc>
        <w:tc>
          <w:tcPr>
            <w:tcW w:type="dxa" w:w="3456"/>
            <w:vAlign w:val="top"/>
          </w:tcPr>
          <w:p>
            <w:r/>
            <w:r>
              <w:rPr>
                <w:rFonts w:ascii="Arial" w:hAnsi="Arial"/>
                <w:b w:val="0"/>
                <w:sz w:val="16"/>
              </w:rPr>
              <w:t>AI-agent primary grading and Python shadow comparison</w:t>
            </w:r>
          </w:p>
        </w:tc>
      </w:tr>
      <w:tr>
        <w:tc>
          <w:tcPr>
            <w:tcW w:type="dxa" w:w="1872"/>
            <w:vAlign w:val="top"/>
          </w:tcPr>
          <w:p>
            <w:r/>
            <w:r>
              <w:rPr>
                <w:rFonts w:ascii="Arial" w:hAnsi="Arial"/>
                <w:b w:val="0"/>
                <w:sz w:val="16"/>
              </w:rPr>
              <w:t>Benchmarking</w:t>
            </w:r>
          </w:p>
        </w:tc>
        <w:tc>
          <w:tcPr>
            <w:tcW w:type="dxa" w:w="4752"/>
            <w:vAlign w:val="top"/>
          </w:tcPr>
          <w:p>
            <w:r/>
            <w:r>
              <w:rPr>
                <w:rFonts w:ascii="Arial" w:hAnsi="Arial"/>
                <w:b w:val="0"/>
                <w:sz w:val="16"/>
              </w:rPr>
              <w:t>benchmark_agent.py, benchmark_three_way.py, benchmark_history.csv, LATEST_BENCHMARK.md</w:t>
            </w:r>
          </w:p>
        </w:tc>
        <w:tc>
          <w:tcPr>
            <w:tcW w:type="dxa" w:w="3456"/>
            <w:vAlign w:val="top"/>
          </w:tcPr>
          <w:p>
            <w:r/>
            <w:r>
              <w:rPr>
                <w:rFonts w:ascii="Arial" w:hAnsi="Arial"/>
                <w:b w:val="0"/>
                <w:sz w:val="16"/>
              </w:rPr>
              <w:t>Model and Python grading quality checks</w:t>
            </w:r>
          </w:p>
        </w:tc>
      </w:tr>
      <w:tr>
        <w:tc>
          <w:tcPr>
            <w:tcW w:type="dxa" w:w="1872"/>
            <w:vAlign w:val="top"/>
          </w:tcPr>
          <w:p>
            <w:r/>
            <w:r>
              <w:rPr>
                <w:rFonts w:ascii="Arial" w:hAnsi="Arial"/>
                <w:b w:val="0"/>
                <w:sz w:val="16"/>
              </w:rPr>
              <w:t>Testing framework</w:t>
            </w:r>
          </w:p>
        </w:tc>
        <w:tc>
          <w:tcPr>
            <w:tcW w:type="dxa" w:w="4752"/>
            <w:vAlign w:val="top"/>
          </w:tcPr>
          <w:p>
            <w:r/>
            <w:r>
              <w:rPr>
                <w:rFonts w:ascii="Arial" w:hAnsi="Arial"/>
                <w:b w:val="0"/>
                <w:sz w:val="16"/>
              </w:rPr>
              <w:t>tests/test_autograde_tools.py</w:t>
            </w:r>
          </w:p>
        </w:tc>
        <w:tc>
          <w:tcPr>
            <w:tcW w:type="dxa" w:w="3456"/>
            <w:vAlign w:val="top"/>
          </w:tcPr>
          <w:p>
            <w:r/>
            <w:r>
              <w:rPr>
                <w:rFonts w:ascii="Arial" w:hAnsi="Arial"/>
                <w:b w:val="0"/>
                <w:sz w:val="16"/>
              </w:rPr>
              <w:t>Unit tests for Python grading behavior</w:t>
            </w:r>
          </w:p>
        </w:tc>
      </w:tr>
      <w:tr>
        <w:tc>
          <w:tcPr>
            <w:tcW w:type="dxa" w:w="1872"/>
            <w:vAlign w:val="top"/>
          </w:tcPr>
          <w:p>
            <w:r/>
            <w:r>
              <w:rPr>
                <w:rFonts w:ascii="Arial" w:hAnsi="Arial"/>
                <w:b w:val="0"/>
                <w:sz w:val="16"/>
              </w:rPr>
              <w:t>Readiness</w:t>
            </w:r>
          </w:p>
        </w:tc>
        <w:tc>
          <w:tcPr>
            <w:tcW w:type="dxa" w:w="4752"/>
            <w:vAlign w:val="top"/>
          </w:tcPr>
          <w:p>
            <w:r/>
            <w:r>
              <w:rPr>
                <w:rFonts w:ascii="Arial" w:hAnsi="Arial"/>
                <w:b w:val="0"/>
                <w:sz w:val="16"/>
              </w:rPr>
              <w:t>PRODUCTION_READY.md</w:t>
            </w:r>
          </w:p>
        </w:tc>
        <w:tc>
          <w:tcPr>
            <w:tcW w:type="dxa" w:w="3456"/>
            <w:vAlign w:val="top"/>
          </w:tcPr>
          <w:p>
            <w:r/>
            <w:r>
              <w:rPr>
                <w:rFonts w:ascii="Arial" w:hAnsi="Arial"/>
                <w:b w:val="0"/>
                <w:sz w:val="16"/>
              </w:rPr>
              <w:t>Promotion criteria for AI-agent primary grading</w:t>
            </w:r>
          </w:p>
        </w:tc>
      </w:tr>
    </w:tbl>
    <w:p>
      <w:pPr>
        <w:spacing w:after="10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4748B"/>
        <w:sz w:val="16"/>
      </w:rPr>
      <w:t>Prepared for portfolio/interview use • May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4748B"/>
        <w:sz w:val="16"/>
      </w:rPr>
      <w:t>GradeFlow Project Overview | AI Autograder + BI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GradeFlow Project Overview</dc:title>
  <dc:subject>AI-Assisted Autograder and BI Dashboard System</dc:subject>
  <dc:creator>OpenAI</dc:creator>
  <cp:keywords>BI, Power BI, SQL, Python, AI automation, autograder</cp:keywords>
  <dc:description>generated by python-docx</dc:description>
  <cp:lastModifiedBy/>
  <cp:revision>1</cp:revision>
  <dcterms:created xsi:type="dcterms:W3CDTF">2013-12-23T23:15:00Z</dcterms:created>
  <dcterms:modified xsi:type="dcterms:W3CDTF">2013-12-23T23:15:00Z</dcterms:modified>
  <cp:category/>
</cp:coreProperties>
</file>