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June 26, 2025</w:t>
      </w:r>
    </w:p>
    <w:p>
      <w:pPr>
        <w:pStyle w:val="Heading2"/>
      </w:pPr>
      <w:r>
        <w:t>Query info</w:t>
      </w:r>
    </w:p>
    <w:p>
      <w:r>
        <w:t>The following query is run for each of the variable specifications listed below:</w:t>
      </w:r>
    </w:p>
    <w:p>
      <w:r>
        <w:rPr>
          <w:i/>
        </w:rPr>
        <w:t>Extract any quote that addresses “{variable_name}” which we define as “{variable_description}”. Only include direct quotations with the corresponding page number(s).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SDG 1</w:t>
            </w:r>
          </w:p>
        </w:tc>
        <w:tc>
          <w:tcPr>
            <w:tcW w:type="dxa" w:w="2880"/>
          </w:tcPr>
          <w:p>
            <w:r>
              <w:t>End poverty in all its forms everywhere.</w:t>
            </w:r>
          </w:p>
        </w:tc>
        <w:tc>
          <w:tcPr>
            <w:tcW w:type="dxa" w:w="2880"/>
          </w:tcPr>
          <w:p/>
        </w:tc>
      </w:tr>
    </w:tbl>
    <w:p>
      <w:pPr>
        <w:pStyle w:val="Heading2"/>
      </w:pPr>
      <w:r>
        <w:t>ETH-008-lt-leds-2023.pdf (None of 1)</w:t>
      </w:r>
    </w:p>
    <w:tbl>
      <w:tblPr>
        <w:tblW w:type="auto" w:w="0"/>
        <w:tblLook w:firstColumn="1" w:firstRow="1" w:lastColumn="0" w:lastRow="0" w:noHBand="0" w:noVBand="1" w:val="04A0"/>
      </w:tblPr>
      <w:tblGrid>
        <w:gridCol w:w="4320"/>
        <w:gridCol w:w="4320"/>
      </w:tblGrid>
      <w:tr>
        <w:tc>
          <w:tcPr>
            <w:tcW w:type="dxa" w:w="4320"/>
          </w:tcPr>
          <w:p>
            <w:r>
              <w:rPr>
                <w:b/>
              </w:rPr>
              <w:t>Variable</w:t>
            </w:r>
          </w:p>
        </w:tc>
        <w:tc>
          <w:tcPr>
            <w:tcW w:type="dxa" w:w="4320"/>
          </w:tcPr>
          <w:p>
            <w:r>
              <w:rPr>
                <w:b/>
              </w:rPr>
              <w:t>Relevant Quotes</w:t>
            </w:r>
          </w:p>
        </w:tc>
      </w:tr>
      <w:tr>
        <w:tc>
          <w:tcPr>
            <w:tcW w:type="dxa" w:w="4320"/>
          </w:tcPr>
          <w:p>
            <w:r>
              <w:t>SDG 1</w:t>
            </w:r>
          </w:p>
        </w:tc>
        <w:tc>
          <w:tcPr>
            <w:tcW w:type="dxa" w:w="4320"/>
          </w:tcPr>
          <w:p>
            <w:r>
              <w:t>Exhaustive list of direct quotations addressing “SDG 1” (“End poverty in all its forms everywhere”), with corresponding page numbers:</w:t>
              <w:br/>
              <w:br/>
              <w:t>1. “Addressing gender and social inclusion considerations during the implementation of the measures envisaged under the LT-LEDS will be critical to maximize co-benefits of the strategy and ensure that the strategy contributes to the country’s national and international commitments on gender equality, including the achievement of the SDGs (SDG 1 on poverty eradication and SDG 5 on gender equality) and the empowerment of youth and women.” [page 88]</w:t>
              <w:br/>
              <w:br/>
              <w:t>2. “Since the beginning of this century, the Sustainable Development and Poverty Reduction Program (SDPRP, 2003–2005), the Plan for Accelerated and Sustained Development to End Poverty (PASDEP, 2006–2010), and the Agricultural Sector Policy and Investment Framework (2010–2020) have been implemented successively, focusing on capacity development of smallholder farmers, enhanced food security, crop diversification promotion, improvement of the livelihoods of pastoral communities and their resilience, and poverty reduction by improving rural-urban linkages, developing rural nonfarm enterprises, and prioritizing agricultural investment.” [page 47]</w:t>
            </w:r>
          </w:p>
        </w:tc>
      </w:tr>
      <w:tr>
        <w:tc>
          <w:tcPr>
            <w:tcW w:type="dxa" w:w="4320"/>
          </w:tcPr>
          <w:p/>
        </w:tc>
        <w:tc>
          <w:tcPr>
            <w:tcW w:type="dxa" w:w="4320"/>
          </w:tcPr>
          <w:p/>
        </w:tc>
      </w:tr>
    </w:tbl>
    <w:p>
      <w:pPr>
        <w:pStyle w:val="Heading4"/>
      </w:pPr>
      <w:r>
        <w:t>1 documents (108 total pages) processed in 17.93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4B0AB35-BA8B-4C69-B6E6-679F4DD5C931}"/>
</file>

<file path=customXml/itemProps3.xml><?xml version="1.0" encoding="utf-8"?>
<ds:datastoreItem xmlns:ds="http://schemas.openxmlformats.org/officeDocument/2006/customXml" ds:itemID="{B566CBAF-DFF2-4F4B-8E76-439444349EAA}"/>
</file>

<file path=customXml/itemProps4.xml><?xml version="1.0" encoding="utf-8"?>
<ds:datastoreItem xmlns:ds="http://schemas.openxmlformats.org/officeDocument/2006/customXml" ds:itemID="{7661C4AB-71CA-4A37-A4C2-F414255D0852}"/>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0x0101000E62A2B09A026F4985FE24E24F68C674</vt:lpwstr>
  </property>
</Properties>
</file>