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pPr>
      <w:r>
        <w:rPr>
          <w:b w:val="0"/>
        </w:rPr>
        <w:t>سند نهایی توافق‌ها</w:t>
      </w:r>
    </w:p>
    <w:p>
      <w:pPr>
        <w:pStyle w:val="Subtitle"/>
        <w:jc w:val="start"/>
        <w:bidi/>
      </w:pPr>
      <w:r>
        <w:rPr>
          <w:b w:val="0"/>
        </w:rPr>
        <w:t>حسابداری آگاه | اصلاحات سامانه و زیرساخت فروش</w:t>
      </w:r>
    </w:p>
    <w:p>
      <w:pPr>
        <w:jc w:val="start"/>
        <w:bidi/>
      </w:pPr>
      <w:r>
        <w:rPr>
          <w:b w:val="0"/>
          <w:color w:val="526773"/>
          <w:sz w:val="18"/>
        </w:rPr>
        <w:t>نسخه سند: ۱٫۰  •  تاریخ: ۵ آبان ۱۴۰۵ / ۲۷ اکتبر ۲۰۲۶  •  مبنا: توافق‌های تأییدشده همین گفتگو</w:t>
      </w:r>
    </w:p>
    <w:p>
      <w:pPr>
        <w:jc w:val="start"/>
        <w:bidi/>
      </w:pPr>
      <w:r>
        <w:rPr>
          <w:b/>
        </w:rPr>
        <w:t>وضعیت: دامنه و تصمیم‌های زیر تأیید شده‌اند؛ این سند اعلام اجرای آنها یا تحویل نسخه جدید نرم‌افزار نیست.</w:t>
      </w:r>
    </w:p>
    <w:p>
      <w:pPr>
        <w:pStyle w:val="Heading1"/>
        <w:jc w:val="start"/>
        <w:bidi/>
      </w:pPr>
      <w:r>
        <w:rPr>
          <w:b w:val="0"/>
        </w:rPr>
        <w:t>۱. مبنای فعلی و حدود این سند</w:t>
      </w:r>
    </w:p>
    <w:p>
      <w:pPr>
        <w:jc w:val="start"/>
        <w:bidi/>
      </w:pPr>
      <w:r>
        <w:rPr>
          <w:b w:val="0"/>
        </w:rPr>
        <w:t>آخرین تحویل نرم‌افزار alpha12 است: سه پنل فروش، تخفیف سالانه، انتخاب نوع حسابداری و ثبت درخواست خرید موجود است. اتصال واقعی درگاه‌ها، فعال‌سازی اشتراک و شمارش خودکار۱۰مشتری در آن فعال نیست. ERP نسخه۰٫۲۰٫۰-alpha، ساختار پایگاه داده نسخه۱۰ و دارای۶۰جدول است.</w:t>
      </w:r>
    </w:p>
    <w:p>
      <w:pPr>
        <w:jc w:val="start"/>
        <w:bidi/>
      </w:pPr>
      <w:r>
        <w:rPr>
          <w:b w:val="0"/>
        </w:rPr>
        <w:t>اصلاحات جدید۱۵گانه و تکمیل زیرساخت اشتراک، موضوع این توافق‌اند. توسعه‌های صنعتی فراتر از تولید فعلیِ تک‌محصولی، تکمیل یکجا و انبار دائمی، خودکار به این دامنه اضافه نمی‌شوند.</w:t>
      </w:r>
    </w:p>
    <w:p>
      <w:pPr>
        <w:pStyle w:val="Heading1"/>
        <w:jc w:val="start"/>
        <w:bidi/>
      </w:pPr>
      <w:r>
        <w:rPr>
          <w:b w:val="0"/>
        </w:rPr>
        <w:t>۲. تصمیم معماری تأییدشده</w:t>
      </w:r>
    </w:p>
    <w:tbl>
      <w:tblPr>
        <w:tblW w:type="auto" w:w="0"/>
        <w:jc w:val="center"/>
        <w:tblLayout w:type="fixed"/>
        <w:tblLook w:firstColumn="1" w:firstRow="1" w:lastColumn="0" w:lastRow="0" w:noHBand="0" w:noVBand="1" w:val="04A0"/>
        <w:bidiVisual/>
      </w:tblPr>
      <w:tblGrid>
        <w:gridCol w:w="4933"/>
        <w:gridCol w:w="4933"/>
      </w:tblGrid>
      <w:tr>
        <w:trPr>
          <w:tblHeader/>
          <w:cantSplit/>
        </w:trPr>
        <w:tc>
          <w:tcPr>
            <w:tcW w:type="dxa" w:w="1928"/>
            <w:vAlign w:val="center"/>
            <w:shd w:fill="17394D"/>
          </w:tcPr>
          <w:p>
            <w:pPr>
              <w:spacing w:after="80" w:before="80"/>
              <w:jc w:val="start"/>
              <w:bidi/>
            </w:pPr>
            <w:r>
              <w:rPr>
                <w:b/>
                <w:color w:val="FFFFFF"/>
                <w:sz w:val="18"/>
              </w:rPr>
              <w:t>بخش</w:t>
            </w:r>
          </w:p>
        </w:tc>
        <w:tc>
          <w:tcPr>
            <w:tcW w:type="dxa" w:w="7937"/>
            <w:vAlign w:val="center"/>
            <w:shd w:fill="17394D"/>
          </w:tcPr>
          <w:p>
            <w:pPr>
              <w:spacing w:after="80" w:before="80"/>
              <w:jc w:val="start"/>
              <w:bidi/>
            </w:pPr>
            <w:r>
              <w:rPr>
                <w:b/>
                <w:color w:val="FFFFFF"/>
                <w:sz w:val="18"/>
              </w:rPr>
              <w:t>تصمیم</w:t>
            </w:r>
          </w:p>
        </w:tc>
      </w:tr>
      <w:tr>
        <w:trPr>
          <w:cantSplit/>
        </w:trPr>
        <w:tc>
          <w:tcPr>
            <w:tcW w:type="dxa" w:w="1928"/>
            <w:vAlign w:val="center"/>
            <w:shd w:fill="F0F5F7"/>
          </w:tcPr>
          <w:p>
            <w:pPr>
              <w:spacing w:after="80" w:before="80"/>
              <w:jc w:val="start"/>
              <w:bidi/>
            </w:pPr>
            <w:r>
              <w:rPr>
                <w:b w:val="0"/>
                <w:sz w:val="18"/>
              </w:rPr>
              <w:t>فروش و پرداخت</w:t>
            </w:r>
          </w:p>
        </w:tc>
        <w:tc>
          <w:tcPr>
            <w:tcW w:type="dxa" w:w="7937"/>
            <w:vAlign w:val="center"/>
            <w:shd w:fill="F0F5F7"/>
          </w:tcPr>
          <w:p>
            <w:pPr>
              <w:spacing w:after="80" w:before="80"/>
              <w:jc w:val="start"/>
              <w:bidi/>
            </w:pPr>
            <w:r>
              <w:rPr>
                <w:b w:val="0"/>
                <w:sz w:val="18"/>
              </w:rPr>
              <w:t>ووکامرس برای سفارش و پرداخت؛ زرین‌پال، زیبال و پرداخت در محل کنار هم.</w:t>
            </w:r>
          </w:p>
        </w:tc>
      </w:tr>
      <w:tr>
        <w:trPr>
          <w:cantSplit/>
        </w:trPr>
        <w:tc>
          <w:tcPr>
            <w:tcW w:type="dxa" w:w="1928"/>
            <w:vAlign w:val="center"/>
            <w:shd w:fill="FFFFFF"/>
          </w:tcPr>
          <w:p>
            <w:pPr>
              <w:spacing w:after="80" w:before="80"/>
              <w:jc w:val="start"/>
              <w:bidi/>
            </w:pPr>
            <w:r>
              <w:rPr>
                <w:b w:val="0"/>
                <w:sz w:val="18"/>
              </w:rPr>
              <w:t>حسابداری و اشتراک</w:t>
            </w:r>
          </w:p>
        </w:tc>
        <w:tc>
          <w:tcPr>
            <w:tcW w:type="dxa" w:w="7937"/>
            <w:vAlign w:val="center"/>
            <w:shd w:fill="FFFFFF"/>
          </w:tcPr>
          <w:p>
            <w:pPr>
              <w:spacing w:after="80" w:before="80"/>
              <w:jc w:val="start"/>
              <w:bidi/>
            </w:pPr>
            <w:r>
              <w:rPr>
                <w:b w:val="0"/>
                <w:sz w:val="18"/>
              </w:rPr>
              <w:t>آگاه مستقل از فروشگاه؛ کنترل اعتبار، شرکت، ماژول‌ها و نقش کاربران در سرور.</w:t>
            </w:r>
          </w:p>
        </w:tc>
      </w:tr>
      <w:tr>
        <w:trPr>
          <w:cantSplit/>
        </w:trPr>
        <w:tc>
          <w:tcPr>
            <w:tcW w:type="dxa" w:w="1928"/>
            <w:vAlign w:val="center"/>
            <w:shd w:fill="F0F5F7"/>
          </w:tcPr>
          <w:p>
            <w:pPr>
              <w:spacing w:after="80" w:before="80"/>
              <w:jc w:val="start"/>
              <w:bidi/>
            </w:pPr>
            <w:r>
              <w:rPr>
                <w:b w:val="0"/>
                <w:sz w:val="18"/>
              </w:rPr>
              <w:t>اتصال‌های رسمی</w:t>
            </w:r>
          </w:p>
        </w:tc>
        <w:tc>
          <w:tcPr>
            <w:tcW w:type="dxa" w:w="7937"/>
            <w:vAlign w:val="center"/>
            <w:shd w:fill="F0F5F7"/>
          </w:tcPr>
          <w:p>
            <w:pPr>
              <w:spacing w:after="80" w:before="80"/>
              <w:jc w:val="start"/>
              <w:bidi/>
            </w:pPr>
            <w:r>
              <w:rPr>
                <w:b w:val="0"/>
                <w:sz w:val="18"/>
              </w:rPr>
              <w:t>پیامک و مؤدیان با لایه اتصال مستقل؛ ورود تنظیمات و نمایش اینماد/شامد از داشبورد.</w:t>
            </w:r>
          </w:p>
        </w:tc>
      </w:tr>
      <w:tr>
        <w:trPr>
          <w:cantSplit/>
        </w:trPr>
        <w:tc>
          <w:tcPr>
            <w:tcW w:type="dxa" w:w="1928"/>
            <w:vAlign w:val="center"/>
            <w:shd w:fill="FFFFFF"/>
          </w:tcPr>
          <w:p>
            <w:pPr>
              <w:spacing w:after="80" w:before="80"/>
              <w:jc w:val="start"/>
              <w:bidi/>
            </w:pPr>
            <w:r>
              <w:rPr>
                <w:b w:val="0"/>
                <w:sz w:val="18"/>
              </w:rPr>
              <w:t>مدارک و مجوزها</w:t>
            </w:r>
          </w:p>
        </w:tc>
        <w:tc>
          <w:tcPr>
            <w:tcW w:type="dxa" w:w="7937"/>
            <w:vAlign w:val="center"/>
            <w:shd w:fill="FFFFFF"/>
          </w:tcPr>
          <w:p>
            <w:pPr>
              <w:spacing w:after="80" w:before="80"/>
              <w:jc w:val="start"/>
              <w:bidi/>
            </w:pPr>
            <w:r>
              <w:rPr>
                <w:b w:val="0"/>
                <w:sz w:val="18"/>
              </w:rPr>
              <w:t>تهیه توسط کارفرما؛ ایجاد زیرساخت توسط توسعه‌دهنده؛ انتخاب افزونه پس از بررسی سازگاری.</w:t>
            </w:r>
          </w:p>
        </w:tc>
      </w:tr>
    </w:tbl>
    <w:p>
      <w:pPr>
        <w:pStyle w:val="Heading1"/>
        <w:jc w:val="start"/>
        <w:bidi/>
      </w:pPr>
      <w:r>
        <w:rPr>
          <w:b w:val="0"/>
        </w:rPr>
        <w:t>۳. مدل فروش مصوب</w:t>
      </w:r>
    </w:p>
    <w:tbl>
      <w:tblPr>
        <w:tblW w:type="auto" w:w="0"/>
        <w:jc w:val="center"/>
        <w:tblLayout w:type="fixed"/>
        <w:tblLook w:firstColumn="1" w:firstRow="1" w:lastColumn="0" w:lastRow="0" w:noHBand="0" w:noVBand="1" w:val="04A0"/>
        <w:bidiVisual/>
      </w:tblPr>
      <w:tblGrid>
        <w:gridCol w:w="2466"/>
        <w:gridCol w:w="2466"/>
        <w:gridCol w:w="2466"/>
        <w:gridCol w:w="2466"/>
      </w:tblGrid>
      <w:tr>
        <w:trPr>
          <w:tblHeader/>
          <w:cantSplit/>
        </w:trPr>
        <w:tc>
          <w:tcPr>
            <w:tcW w:type="dxa" w:w="2891"/>
            <w:vAlign w:val="center"/>
            <w:shd w:fill="17394D"/>
          </w:tcPr>
          <w:p>
            <w:pPr>
              <w:spacing w:after="80" w:before="80"/>
              <w:jc w:val="start"/>
              <w:bidi/>
            </w:pPr>
            <w:r>
              <w:rPr>
                <w:b/>
                <w:color w:val="FFFFFF"/>
                <w:sz w:val="18"/>
              </w:rPr>
              <w:t>طرح</w:t>
            </w:r>
          </w:p>
        </w:tc>
        <w:tc>
          <w:tcPr>
            <w:tcW w:type="dxa" w:w="2041"/>
            <w:vAlign w:val="center"/>
            <w:shd w:fill="17394D"/>
          </w:tcPr>
          <w:p>
            <w:pPr>
              <w:spacing w:after="80" w:before="80"/>
              <w:jc w:val="start"/>
              <w:bidi/>
            </w:pPr>
            <w:r>
              <w:rPr>
                <w:b/>
                <w:color w:val="FFFFFF"/>
                <w:sz w:val="18"/>
              </w:rPr>
              <w:t>ماهانه / تومان</w:t>
            </w:r>
          </w:p>
        </w:tc>
        <w:tc>
          <w:tcPr>
            <w:tcW w:type="dxa" w:w="2494"/>
            <w:vAlign w:val="center"/>
            <w:shd w:fill="17394D"/>
          </w:tcPr>
          <w:p>
            <w:pPr>
              <w:spacing w:after="80" w:before="80"/>
              <w:jc w:val="start"/>
              <w:bidi/>
            </w:pPr>
            <w:r>
              <w:rPr>
                <w:b/>
                <w:color w:val="FFFFFF"/>
                <w:sz w:val="18"/>
              </w:rPr>
              <w:t>معادل ماهانه سالانه</w:t>
            </w:r>
          </w:p>
        </w:tc>
        <w:tc>
          <w:tcPr>
            <w:tcW w:type="dxa" w:w="2438"/>
            <w:vAlign w:val="center"/>
            <w:shd w:fill="17394D"/>
          </w:tcPr>
          <w:p>
            <w:pPr>
              <w:spacing w:after="80" w:before="80"/>
              <w:jc w:val="start"/>
              <w:bidi/>
            </w:pPr>
            <w:r>
              <w:rPr>
                <w:b/>
                <w:color w:val="FFFFFF"/>
                <w:sz w:val="18"/>
              </w:rPr>
              <w:t>کل پرداخت سالانه</w:t>
            </w:r>
          </w:p>
        </w:tc>
      </w:tr>
      <w:tr>
        <w:trPr>
          <w:cantSplit/>
        </w:trPr>
        <w:tc>
          <w:tcPr>
            <w:tcW w:type="dxa" w:w="2891"/>
            <w:vAlign w:val="center"/>
            <w:shd w:fill="F0F5F7"/>
          </w:tcPr>
          <w:p>
            <w:pPr>
              <w:spacing w:after="80" w:before="80"/>
              <w:jc w:val="start"/>
              <w:bidi/>
            </w:pPr>
            <w:r>
              <w:rPr>
                <w:b w:val="0"/>
                <w:sz w:val="18"/>
              </w:rPr>
              <w:t>تخصصی؛ یک نوع فعالیت</w:t>
            </w:r>
          </w:p>
        </w:tc>
        <w:tc>
          <w:tcPr>
            <w:tcW w:type="dxa" w:w="2041"/>
            <w:vAlign w:val="center"/>
            <w:shd w:fill="F0F5F7"/>
          </w:tcPr>
          <w:p>
            <w:pPr>
              <w:spacing w:after="80" w:before="80"/>
              <w:jc w:val="start"/>
              <w:bidi/>
            </w:pPr>
            <w:r>
              <w:rPr>
                <w:b w:val="0"/>
                <w:sz w:val="18"/>
              </w:rPr>
              <w:t>۵۰۰٬۰۰۰</w:t>
            </w:r>
          </w:p>
        </w:tc>
        <w:tc>
          <w:tcPr>
            <w:tcW w:type="dxa" w:w="2494"/>
            <w:vAlign w:val="center"/>
            <w:shd w:fill="F0F5F7"/>
          </w:tcPr>
          <w:p>
            <w:pPr>
              <w:spacing w:after="80" w:before="80"/>
              <w:jc w:val="start"/>
              <w:bidi/>
            </w:pPr>
            <w:r>
              <w:rPr>
                <w:b w:val="0"/>
                <w:sz w:val="18"/>
              </w:rPr>
              <w:t>۴۵۰٬۰۰۰</w:t>
            </w:r>
          </w:p>
        </w:tc>
        <w:tc>
          <w:tcPr>
            <w:tcW w:type="dxa" w:w="2438"/>
            <w:vAlign w:val="center"/>
            <w:shd w:fill="F0F5F7"/>
          </w:tcPr>
          <w:p>
            <w:pPr>
              <w:spacing w:after="80" w:before="80"/>
              <w:jc w:val="start"/>
              <w:bidi/>
            </w:pPr>
            <w:r>
              <w:rPr>
                <w:b w:val="0"/>
                <w:sz w:val="18"/>
              </w:rPr>
              <w:t>۵٬۴۰۰٬۰۰۰</w:t>
            </w:r>
          </w:p>
        </w:tc>
      </w:tr>
      <w:tr>
        <w:trPr>
          <w:cantSplit/>
        </w:trPr>
        <w:tc>
          <w:tcPr>
            <w:tcW w:type="dxa" w:w="2891"/>
            <w:vAlign w:val="center"/>
            <w:shd w:fill="FFFFFF"/>
          </w:tcPr>
          <w:p>
            <w:pPr>
              <w:spacing w:after="80" w:before="80"/>
              <w:jc w:val="start"/>
              <w:bidi/>
            </w:pPr>
            <w:r>
              <w:rPr>
                <w:b w:val="0"/>
                <w:sz w:val="18"/>
              </w:rPr>
              <w:t>ترکیبی؛ ماژول‌های موجود</w:t>
            </w:r>
          </w:p>
        </w:tc>
        <w:tc>
          <w:tcPr>
            <w:tcW w:type="dxa" w:w="2041"/>
            <w:vAlign w:val="center"/>
            <w:shd w:fill="FFFFFF"/>
          </w:tcPr>
          <w:p>
            <w:pPr>
              <w:spacing w:after="80" w:before="80"/>
              <w:jc w:val="start"/>
              <w:bidi/>
            </w:pPr>
            <w:r>
              <w:rPr>
                <w:b w:val="0"/>
                <w:sz w:val="18"/>
              </w:rPr>
              <w:t>۱٬۰۰۰٬۰۰۰</w:t>
            </w:r>
          </w:p>
        </w:tc>
        <w:tc>
          <w:tcPr>
            <w:tcW w:type="dxa" w:w="2494"/>
            <w:vAlign w:val="center"/>
            <w:shd w:fill="FFFFFF"/>
          </w:tcPr>
          <w:p>
            <w:pPr>
              <w:spacing w:after="80" w:before="80"/>
              <w:jc w:val="start"/>
              <w:bidi/>
            </w:pPr>
            <w:r>
              <w:rPr>
                <w:b w:val="0"/>
                <w:sz w:val="18"/>
              </w:rPr>
              <w:t>۹۰۰٬۰۰۰</w:t>
            </w:r>
          </w:p>
        </w:tc>
        <w:tc>
          <w:tcPr>
            <w:tcW w:type="dxa" w:w="2438"/>
            <w:vAlign w:val="center"/>
            <w:shd w:fill="FFFFFF"/>
          </w:tcPr>
          <w:p>
            <w:pPr>
              <w:spacing w:after="80" w:before="80"/>
              <w:jc w:val="start"/>
              <w:bidi/>
            </w:pPr>
            <w:r>
              <w:rPr>
                <w:b w:val="0"/>
                <w:sz w:val="18"/>
              </w:rPr>
              <w:t>۱۰٬۸۰۰٬۰۰۰</w:t>
            </w:r>
          </w:p>
        </w:tc>
      </w:tr>
      <w:tr>
        <w:trPr>
          <w:cantSplit/>
        </w:trPr>
        <w:tc>
          <w:tcPr>
            <w:tcW w:type="dxa" w:w="2891"/>
            <w:vAlign w:val="center"/>
            <w:shd w:fill="F0F5F7"/>
          </w:tcPr>
          <w:p>
            <w:pPr>
              <w:spacing w:after="80" w:before="80"/>
              <w:jc w:val="start"/>
              <w:bidi/>
            </w:pPr>
            <w:r>
              <w:rPr>
                <w:b w:val="0"/>
                <w:sz w:val="18"/>
              </w:rPr>
              <w:t>سازمانی؛ سرور خریدار</w:t>
            </w:r>
          </w:p>
        </w:tc>
        <w:tc>
          <w:tcPr>
            <w:tcW w:type="dxa" w:w="2041"/>
            <w:vAlign w:val="center"/>
            <w:shd w:fill="F0F5F7"/>
          </w:tcPr>
          <w:p>
            <w:pPr>
              <w:spacing w:after="80" w:before="80"/>
              <w:jc w:val="start"/>
              <w:bidi/>
            </w:pPr>
            <w:r>
              <w:rPr>
                <w:b w:val="0"/>
                <w:sz w:val="18"/>
              </w:rPr>
              <w:t>تماس بگیرید</w:t>
            </w:r>
          </w:p>
        </w:tc>
        <w:tc>
          <w:tcPr>
            <w:tcW w:type="dxa" w:w="2494"/>
            <w:vAlign w:val="center"/>
            <w:shd w:fill="F0F5F7"/>
          </w:tcPr>
          <w:p>
            <w:pPr>
              <w:spacing w:after="80" w:before="80"/>
              <w:jc w:val="start"/>
              <w:bidi/>
            </w:pPr>
            <w:r>
              <w:rPr>
                <w:b w:val="0"/>
                <w:sz w:val="18"/>
              </w:rPr>
              <w:t>توافقی</w:t>
            </w:r>
          </w:p>
        </w:tc>
        <w:tc>
          <w:tcPr>
            <w:tcW w:type="dxa" w:w="2438"/>
            <w:vAlign w:val="center"/>
            <w:shd w:fill="F0F5F7"/>
          </w:tcPr>
          <w:p>
            <w:pPr>
              <w:spacing w:after="80" w:before="80"/>
              <w:jc w:val="start"/>
              <w:bidi/>
            </w:pPr>
            <w:r>
              <w:rPr>
                <w:b w:val="0"/>
                <w:sz w:val="18"/>
              </w:rPr>
              <w:t>توافقی</w:t>
            </w:r>
          </w:p>
        </w:tc>
      </w:tr>
    </w:tbl>
    <w:p>
      <w:pPr>
        <w:jc w:val="start"/>
        <w:bidi/>
      </w:pPr>
      <w:r>
        <w:rPr>
          <w:b w:val="0"/>
          <w:color w:val="526773"/>
          <w:sz w:val="18"/>
        </w:rPr>
        <w:t>تخصصی: بازرگانی یا تولیدی یا خدماتی. هر اشتراک برای یک شرکت؛ بدون سقف تعداد اسناد/فاکتورها؛ قیمت افتتاحیه ویژه۱۰مشتری پرداخت‌کننده اول. سالانه با۱۰٪ تخفیف و پرداخت یکجا. تمدید این فاز با پرداخت مجدد است، نه برداشت خودکار.</w:t>
      </w:r>
    </w:p>
    <w:p>
      <w:r>
        <w:br w:type="page"/>
      </w:r>
    </w:p>
    <w:p>
      <w:pPr>
        <w:pStyle w:val="Heading1"/>
        <w:jc w:val="start"/>
        <w:bidi/>
      </w:pPr>
      <w:r>
        <w:rPr>
          <w:b w:val="0"/>
        </w:rPr>
        <w:t>۴. اصلاحات مصوب — موارد۱ تا۵</w:t>
      </w:r>
    </w:p>
    <w:p>
      <w:pPr>
        <w:pStyle w:val="Heading2"/>
        <w:jc w:val="start"/>
        <w:bidi/>
      </w:pPr>
      <w:r>
        <w:rPr>
          <w:b w:val="0"/>
        </w:rPr>
        <w:t>۱. گزارش بدون داده</w:t>
      </w:r>
    </w:p>
    <w:p>
      <w:pPr>
        <w:jc w:val="start"/>
        <w:bidi/>
      </w:pPr>
      <w:r>
        <w:rPr>
          <w:b w:val="0"/>
        </w:rPr>
        <w:t>در نمودار شش‌ماهه شمسی داشبورد و تمام بخش‌های گزارش، نبود رکورد با عبارت دقیق «چیزی برای نمایش وجود ندارد» مشخص شود. مقدار صفر واقعی، نتیجه بدون داده و خطای دریافت اطلاعات سه وضعیت جدا هستند.</w:t>
      </w:r>
    </w:p>
    <w:p>
      <w:pPr>
        <w:jc w:val="start"/>
        <w:bidi/>
      </w:pPr>
      <w:r>
        <w:rPr>
          <w:b w:val="0"/>
          <w:sz w:val="18"/>
        </w:rPr>
        <w:t>معیار پذیرش: بازه بدون رکورد پیام مقرر را نمایش دهد؛ رکورد دارای مقدار صفر همچنان داده محسوب شود؛ خطای سرویس به پیام نبود داده تبدیل نشود.</w:t>
      </w:r>
    </w:p>
    <w:p>
      <w:pPr>
        <w:jc w:val="start"/>
        <w:bidi/>
      </w:pPr>
      <w:r>
        <w:rPr>
          <w:b w:val="0"/>
          <w:color w:val="526773"/>
          <w:sz w:val="18"/>
        </w:rPr>
        <w:t>نکته اجرا: همه گزارش‌ها و فیلترهای تاریخ بررسی شوند.</w:t>
      </w:r>
    </w:p>
    <w:p>
      <w:pPr>
        <w:pStyle w:val="Heading2"/>
        <w:jc w:val="start"/>
        <w:bidi/>
      </w:pPr>
      <w:r>
        <w:rPr>
          <w:b w:val="0"/>
        </w:rPr>
        <w:t>۲. مشخصات شرکت و فیلدهای الزامی</w:t>
      </w:r>
    </w:p>
    <w:p>
      <w:pPr>
        <w:jc w:val="start"/>
        <w:bidi/>
      </w:pPr>
      <w:r>
        <w:rPr>
          <w:b w:val="0"/>
        </w:rPr>
        <w:t>با انتخاب حقیقی یا حقوقی، فیلدهای متناسب نمایش داده شوند. تنظیم الزامی یا اختیاری بودن فیلدهای قابل تنظیم با مدیر اصلی است؛ مدیر سایت فقط با اجازه مدیر اصلی حق تغییر دارد. الزامات رسمی هر عملیات در زمان انجام آن کنترل شوند.</w:t>
      </w:r>
    </w:p>
    <w:p>
      <w:pPr>
        <w:jc w:val="start"/>
        <w:bidi/>
      </w:pPr>
      <w:r>
        <w:rPr>
          <w:b w:val="0"/>
          <w:sz w:val="18"/>
        </w:rPr>
        <w:t>معیار پذیرش: تغییر نوع، نمایش و اعتبارسنجی مرتبط را هماهنگ کند؛ فیلد پنهان مانع ثبت نشود؛ تنظیمات هم در رابط و هم در سرور اعمال و تغییر آنها ممیزی شود.</w:t>
      </w:r>
    </w:p>
    <w:p>
      <w:pPr>
        <w:jc w:val="start"/>
        <w:bidi/>
      </w:pPr>
      <w:r>
        <w:rPr>
          <w:b w:val="0"/>
          <w:color w:val="526773"/>
          <w:sz w:val="18"/>
        </w:rPr>
        <w:t>نکته اجرا: نام و دامنه مجوز مدیر اصلی و مدیر سایت باید در پیاده‌سازی صریح باشد؛ تنظیمات نباید به کاربر غیرمجاز واگذار شود.</w:t>
      </w:r>
    </w:p>
    <w:p>
      <w:pPr>
        <w:pStyle w:val="Heading2"/>
        <w:jc w:val="start"/>
        <w:bidi/>
      </w:pPr>
      <w:r>
        <w:rPr>
          <w:b w:val="0"/>
        </w:rPr>
        <w:t>۳. زیرساخت اتصال‌ها و مجوزها</w:t>
      </w:r>
    </w:p>
    <w:p>
      <w:pPr>
        <w:jc w:val="start"/>
        <w:bidi/>
      </w:pPr>
      <w:r>
        <w:rPr>
          <w:b w:val="0"/>
        </w:rPr>
        <w:t>زیرساخت پیامک، اینماد، شامد، API سامانه مؤدیان، زرین‌پال و زیبال فراهم شود. مدارک و مجوزهای رسمی را کارفرما تهیه می‌کند. ووکامرس برای فروش و پرداخت استفاده شود؛ حسابداری، دسترسی ماژول‌ها و پیامک عملیاتی مستقل بمانند.</w:t>
      </w:r>
    </w:p>
    <w:p>
      <w:pPr>
        <w:jc w:val="start"/>
        <w:bidi/>
      </w:pPr>
      <w:r>
        <w:rPr>
          <w:b w:val="0"/>
          <w:sz w:val="18"/>
        </w:rPr>
        <w:t>معیار پذیرش: تنظیمات اتصال از داشبورد قابل مدیریت باشد؛ هر دو درگاه و پرداخت در محل قابل انتخاب باشند؛ پرداخت صرفاً با تأیید معتبر فعال شود؛ نمایش نماد فقط با کد معتبر انجام گیرد.</w:t>
      </w:r>
    </w:p>
    <w:p>
      <w:pPr>
        <w:jc w:val="start"/>
        <w:bidi/>
      </w:pPr>
      <w:r>
        <w:rPr>
          <w:b w:val="0"/>
          <w:color w:val="526773"/>
          <w:sz w:val="18"/>
        </w:rPr>
        <w:t>نکته اجرا: مستندات API، مرچنت‌های درگاه و اطلاعات رسمی مؤدیان لازم است. انتخاب افزونه معتبر پس از بررسی سازگاری انجام می‌شود؛ اخذ مجوز وظیفه نرم‌افزار نیست.</w:t>
      </w:r>
    </w:p>
    <w:p>
      <w:pPr>
        <w:pStyle w:val="Heading2"/>
        <w:jc w:val="start"/>
        <w:bidi/>
      </w:pPr>
      <w:r>
        <w:rPr>
          <w:b w:val="0"/>
        </w:rPr>
        <w:t>۴. انتخابگر دارای جست‌وجوی داخلی</w:t>
      </w:r>
    </w:p>
    <w:p>
      <w:pPr>
        <w:jc w:val="start"/>
        <w:bidi/>
      </w:pPr>
      <w:r>
        <w:rPr>
          <w:b w:val="0"/>
        </w:rPr>
        <w:t>ورودی‌های جست‌وجوی جداگانه بالای کمبوباکس‌ها حذف و جست‌وجو داخل همان فهرست بازشده قرار گیرد. انتخابگر یک کنترل منسجم باشد و کار با صفحه‌کلید، موبایل و مقدار انتخاب‌شده حفظ شود.</w:t>
      </w:r>
    </w:p>
    <w:p>
      <w:pPr>
        <w:jc w:val="start"/>
        <w:bidi/>
      </w:pPr>
      <w:r>
        <w:rPr>
          <w:b w:val="0"/>
          <w:sz w:val="18"/>
        </w:rPr>
        <w:t>معیار پذیرش: جست‌وجو پس از باز کردن انتخابگر در دسترس باشد؛ کنترل اضافی بیرونی دیده نشود؛ انتخاب و ارسال مقدار صحیح با ماوس، لمس و صفحه‌کلید آزمون شود.</w:t>
      </w:r>
    </w:p>
    <w:p>
      <w:pPr>
        <w:jc w:val="start"/>
        <w:bidi/>
      </w:pPr>
      <w:r>
        <w:rPr>
          <w:b w:val="0"/>
          <w:color w:val="526773"/>
          <w:sz w:val="18"/>
        </w:rPr>
        <w:t>نکته اجرا: در تمام فرم‌های مرتبط، از جمله درخواست طرح‌های فروش، یک الگوی مشترک اعمال شود.</w:t>
      </w:r>
    </w:p>
    <w:p>
      <w:pPr>
        <w:pStyle w:val="Heading2"/>
        <w:jc w:val="start"/>
        <w:bidi/>
      </w:pPr>
      <w:r>
        <w:rPr>
          <w:b w:val="0"/>
        </w:rPr>
        <w:t>۵. PDF و سهمیه پیوست‌ها</w:t>
      </w:r>
    </w:p>
    <w:p>
      <w:pPr>
        <w:jc w:val="start"/>
        <w:bidi/>
      </w:pPr>
      <w:r>
        <w:rPr>
          <w:b w:val="0"/>
        </w:rPr>
        <w:t>علت رد شدن PDF بررسی و پذیرش PDF معتبر برقرار شود. نوع واقعی فایل و اندازه آن کنترل شود؛ اندازه هر فایل و مجموع مصرف فضای ذخیره‌سازی در اختیار مدیر باشد. پیش‌فرض تأییدشده اندازه هر فایل ۵ مگابایت است و الزام قانونی عمومی نیست.</w:t>
      </w:r>
    </w:p>
    <w:p>
      <w:pPr>
        <w:jc w:val="start"/>
        <w:bidi/>
      </w:pPr>
      <w:r>
        <w:rPr>
          <w:b w:val="0"/>
          <w:sz w:val="18"/>
        </w:rPr>
        <w:t>معیار پذیرش: PDF معتبر تا سقف مجاز پذیرفته شود؛ فایل نامعتبر یا بزرگ‌تر با پیام دقیق رد شود؛ سهمیه مجموع فضا نیز در سرور کنترل و برای کاربر نمایش داده شود.</w:t>
      </w:r>
    </w:p>
    <w:p>
      <w:pPr>
        <w:jc w:val="start"/>
        <w:bidi/>
      </w:pPr>
      <w:r>
        <w:rPr>
          <w:b w:val="0"/>
          <w:color w:val="526773"/>
          <w:sz w:val="18"/>
        </w:rPr>
        <w:t>نکته اجرا: مقدار اولیه سهمیه مجموع باید متناسب با فضای واقعی استقرار تعیین شود؛ عدد ثابت نامعلوم به‌عنوان توافق ثبت نمی‌شود.</w:t>
      </w:r>
    </w:p>
    <w:p>
      <w:r>
        <w:br w:type="page"/>
      </w:r>
    </w:p>
    <w:p>
      <w:pPr>
        <w:pStyle w:val="Heading1"/>
        <w:jc w:val="start"/>
        <w:bidi/>
      </w:pPr>
      <w:r>
        <w:rPr>
          <w:b w:val="0"/>
        </w:rPr>
        <w:t>۵. اصلاحات مصوب — موارد۶ تا۱۰</w:t>
      </w:r>
    </w:p>
    <w:p>
      <w:pPr>
        <w:pStyle w:val="Heading2"/>
        <w:jc w:val="start"/>
        <w:bidi/>
      </w:pPr>
      <w:r>
        <w:rPr>
          <w:b w:val="0"/>
        </w:rPr>
        <w:t>۶. کدگذاری خودکار و مؤدیان</w:t>
      </w:r>
    </w:p>
    <w:p>
      <w:pPr>
        <w:jc w:val="start"/>
        <w:bidi/>
      </w:pPr>
      <w:r>
        <w:rPr>
          <w:b w:val="0"/>
        </w:rPr>
        <w:t>کد داخلی یکتا، پایدار و غیرقابل استفاده مجدد؛ شمارنده مستقل شرکت و نوع موجودیت؛ شماره سند متناسب با نوع و سال مالی؛ تخصیص اتمیک و بدون تکرار؛ شناسه رسمی کالا/خدمت؛ شماره منحصر‌به‌فرد مالیاتی؛ تفکیک شناسه مالیاتی از کد داخلی؛ گزینه ارسال به مؤدیان در فاکتور و تنظیم مرتبط در جداول ضروری.</w:t>
      </w:r>
    </w:p>
    <w:p>
      <w:pPr>
        <w:jc w:val="start"/>
        <w:bidi/>
      </w:pPr>
      <w:r>
        <w:rPr>
          <w:b w:val="0"/>
          <w:sz w:val="18"/>
        </w:rPr>
        <w:t>معیار پذیرش: کدگذاری هم‌زمان تکرار نسازد؛ روشن یا خاموش کردن ارسال مؤدیان کد داخلی موجود را تغییر ندهد؛ اطلاعات رسمی و وضعیت ارسال مستقل ذخیره شوند.</w:t>
      </w:r>
    </w:p>
    <w:p>
      <w:pPr>
        <w:pStyle w:val="Heading2"/>
        <w:jc w:val="start"/>
        <w:bidi/>
      </w:pPr>
      <w:r>
        <w:rPr>
          <w:b w:val="0"/>
        </w:rPr>
        <w:t>۷. نقش اشخاص و شمارنده کد</w:t>
      </w:r>
    </w:p>
    <w:p>
      <w:pPr>
        <w:jc w:val="start"/>
        <w:bidi/>
      </w:pPr>
      <w:r>
        <w:rPr>
          <w:b w:val="0"/>
        </w:rPr>
        <w:t>گزینه‌های مشتری و تأمین‌کننده کنار هم و در یک گروه منسجم باشند؛ ارتباط آنها در موبایل حفظ شود. کد اشخاص خودکار باشد. الگوی P000001 قرارداد داخلی است و شش رقم عددی دارد؛ استاندارد اجباری سراسری نیست.</w:t>
      </w:r>
    </w:p>
    <w:p>
      <w:pPr>
        <w:jc w:val="start"/>
        <w:bidi/>
      </w:pPr>
      <w:r>
        <w:rPr>
          <w:b w:val="0"/>
          <w:sz w:val="18"/>
        </w:rPr>
        <w:t>معیار پذیرش: کاربر مجبور به ساخت کد نباشد؛ عبور شمارنده از ظرفیت نمایشی باعث افزایش طول شود، نه بازگشت به صفر، بریدن رقم یا تکرار کد؛ نقش‌ها در عرض‌های مختلف خوانا باشند.</w:t>
      </w:r>
    </w:p>
    <w:p>
      <w:pPr>
        <w:pStyle w:val="Heading2"/>
        <w:jc w:val="start"/>
        <w:bidi/>
      </w:pPr>
      <w:r>
        <w:rPr>
          <w:b w:val="0"/>
        </w:rPr>
        <w:t>۸. حفظ موقعیت پس از ثبت</w:t>
      </w:r>
    </w:p>
    <w:p>
      <w:pPr>
        <w:jc w:val="start"/>
        <w:bidi/>
      </w:pPr>
      <w:r>
        <w:rPr>
          <w:b w:val="0"/>
        </w:rPr>
        <w:t>بعد از افزودن گروه کالا و تعاریف مشابه، نتیجه در همان ناحیه دیده شود و کاربر به ابتدای صفحه فرستاده نشود. پیام موفقیت و رکورد تازه قابل مشاهده باشند. در خطا نیز اطلاعات فرم و زمینه کار حفظ شوند.</w:t>
      </w:r>
    </w:p>
    <w:p>
      <w:pPr>
        <w:jc w:val="start"/>
        <w:bidi/>
      </w:pPr>
      <w:r>
        <w:rPr>
          <w:b w:val="0"/>
          <w:sz w:val="18"/>
        </w:rPr>
        <w:t>معیار پذیرش: ثبت موفق، کاربر را کنار نتیجه نگه دارد؛ ثبت نامعتبر مقدارها را پاک نکند؛ کنترل تمرکز و پیام خطا/موفقیت در همان جریان بررسی شود.</w:t>
      </w:r>
    </w:p>
    <w:p>
      <w:pPr>
        <w:pStyle w:val="Heading2"/>
        <w:jc w:val="start"/>
        <w:bidi/>
      </w:pPr>
      <w:r>
        <w:rPr>
          <w:b w:val="0"/>
        </w:rPr>
        <w:t>۹. مرتب‌سازی و خروجی هماهنگ</w:t>
      </w:r>
    </w:p>
    <w:p>
      <w:pPr>
        <w:jc w:val="start"/>
        <w:bidi/>
      </w:pPr>
      <w:r>
        <w:rPr>
          <w:b w:val="0"/>
        </w:rPr>
        <w:t>سرستون‌های معنادار قابلیت مرتب‌سازی صعودی و نزولی داشته باشند. مرتب‌سازی بر کل نتایج اعمال شود؛ چاپ و خروجی، همان فیلترها و ترتیب انتخابی را حفظ کنند.</w:t>
      </w:r>
    </w:p>
    <w:p>
      <w:pPr>
        <w:jc w:val="start"/>
        <w:bidi/>
      </w:pPr>
      <w:r>
        <w:rPr>
          <w:b w:val="0"/>
          <w:sz w:val="18"/>
        </w:rPr>
        <w:t>معیار پذیرش: ترتیب در صفحه‌بندی پایدار باشد؛ تغییر صفحه آن را به هم نزند؛ Excel، CSV و چاپِ مرتبط با همان کلید و جهت مرتب‌سازی تولید شوند.</w:t>
      </w:r>
    </w:p>
    <w:p>
      <w:pPr>
        <w:pStyle w:val="Heading2"/>
        <w:jc w:val="start"/>
        <w:bidi/>
      </w:pPr>
      <w:r>
        <w:rPr>
          <w:b w:val="0"/>
        </w:rPr>
        <w:t>۱۰. اشتراک‌گذاری فاکتور و پیش‌فاکتور</w:t>
      </w:r>
    </w:p>
    <w:p>
      <w:pPr>
        <w:jc w:val="start"/>
        <w:bidi/>
      </w:pPr>
      <w:r>
        <w:rPr>
          <w:b w:val="0"/>
        </w:rPr>
        <w:t>امکان اشتراک فایل یا پیوند فاکتور و پیش‌فاکتور از طریق قابلیت اشتراک دستگاه و مسیرهای مرتبط مانند ایمیل فراهم شود. پیوند به همان سند محدود، دارای انقضا و قابل لغو باشد.</w:t>
      </w:r>
    </w:p>
    <w:p>
      <w:pPr>
        <w:jc w:val="start"/>
        <w:bidi/>
      </w:pPr>
      <w:r>
        <w:rPr>
          <w:b w:val="0"/>
          <w:sz w:val="18"/>
        </w:rPr>
        <w:t>معیار پذیرش: گیرنده فقط سند مجاز را ببیند؛ اسناد یا اطلاعات سایر شرکت‌ها افشا نشوند؛ لغو و انقضا اعمال شود و روش جایگزین دانلود/کپی پیوند برای مرورگر فاقد اشتراک وجود داشته باشد.</w:t>
      </w:r>
    </w:p>
    <w:p>
      <w:pPr>
        <w:jc w:val="start"/>
        <w:bidi/>
      </w:pPr>
      <w:r>
        <w:rPr>
          <w:b w:val="0"/>
          <w:color w:val="526773"/>
          <w:sz w:val="18"/>
        </w:rPr>
        <w:t>نکته اجرا: ارسال پیام یا ایمیل فقط با اقدام صریح کاربر یا قواعد ابلاغِ مجاز انجام شود.</w:t>
      </w:r>
    </w:p>
    <w:p>
      <w:r>
        <w:br w:type="page"/>
      </w:r>
    </w:p>
    <w:p>
      <w:pPr>
        <w:pStyle w:val="Heading1"/>
        <w:jc w:val="start"/>
        <w:bidi/>
      </w:pPr>
      <w:r>
        <w:rPr>
          <w:b w:val="0"/>
        </w:rPr>
        <w:t>۶. اصلاحات مصوب — موارد۱۱ تا۱۵</w:t>
      </w:r>
    </w:p>
    <w:p>
      <w:pPr>
        <w:pStyle w:val="Heading2"/>
        <w:jc w:val="start"/>
        <w:bidi/>
      </w:pPr>
      <w:r>
        <w:rPr>
          <w:b w:val="0"/>
        </w:rPr>
        <w:t>۱۱. ارجاع فروش، اختیار قیمت و اعلان</w:t>
      </w:r>
    </w:p>
    <w:p>
      <w:pPr>
        <w:jc w:val="start"/>
        <w:bidi/>
      </w:pPr>
      <w:r>
        <w:rPr>
          <w:b w:val="0"/>
        </w:rPr>
        <w:t>سفارش به فروشنده یا صندوق‌دار مجاز ارجاع و در کارتابل او نمایش داده شود. مسیر پیش‌فاکتور، سفارش در صورت نیاز، فاکتور و دریافت وجه پشتیبانی شود. ارجاع‌گیرنده پیش از صدور نهایی اختیار تغییر قیمت و تخفیف داشته باشد؛ سند صادرشده از مسیر اصلاح/ابطال معتبر تغییر کند.</w:t>
      </w:r>
    </w:p>
    <w:p>
      <w:pPr>
        <w:jc w:val="start"/>
        <w:bidi/>
      </w:pPr>
      <w:r>
        <w:rPr>
          <w:b w:val="0"/>
          <w:sz w:val="18"/>
        </w:rPr>
        <w:t>معیار پذیرش: تبدیل اسناد و ارجاع قابل پیگیری باشد؛ تخفیف نیازمند تأیید قبلی مدیر نباشد، اما در اولین ورود بعدی مدیر اعلان خوانده‌نشده داشته باشد؛ تغییرات ممیزی و مجوزها در سرور کنترل شوند.</w:t>
      </w:r>
    </w:p>
    <w:p>
      <w:pPr>
        <w:jc w:val="start"/>
        <w:bidi/>
      </w:pPr>
      <w:r>
        <w:rPr>
          <w:b w:val="0"/>
          <w:color w:val="526773"/>
          <w:sz w:val="18"/>
        </w:rPr>
        <w:t>نکته اجرا: مدیر نوع رویداد، گیرندگان و شماره‌های پیامکی، اعلان داشبورد، ارسال فوری/تجمیعی و قواعد جلوگیری از ارسال مزاحم یا تکراری را تعیین کند.</w:t>
      </w:r>
    </w:p>
    <w:p>
      <w:pPr>
        <w:pStyle w:val="Heading2"/>
        <w:jc w:val="start"/>
        <w:bidi/>
      </w:pPr>
      <w:r>
        <w:rPr>
          <w:b w:val="0"/>
        </w:rPr>
        <w:t>۱۲. چیدمان خزانه و کیفیت رابط</w:t>
      </w:r>
    </w:p>
    <w:p>
      <w:pPr>
        <w:jc w:val="start"/>
        <w:bidi/>
      </w:pPr>
      <w:r>
        <w:rPr>
          <w:b w:val="0"/>
        </w:rPr>
        <w:t>فرم‌های دریافت و پرداخت متناسب با نوع عملیات بازطراحی و اطلاعات مرتبط گروه‌بندی شوند؛ فقط فیلدهای لازم نمایش داده شوند. واکنش‌گرایی، خوانایی و کاهش کار اضافی، معیار ثابت پذیرش رابط این پروژه و مبنای مستند همکاری‌های بعدی باشد.</w:t>
      </w:r>
    </w:p>
    <w:p>
      <w:pPr>
        <w:jc w:val="start"/>
        <w:bidi/>
      </w:pPr>
      <w:r>
        <w:rPr>
          <w:b w:val="0"/>
          <w:sz w:val="18"/>
        </w:rPr>
        <w:t>معیار پذیرش: چیدمان در موبایل، تبلت و دسکتاپ بررسی شود؛ هم‌پوشانی یا بیرون‌زدگی صفحه وجود نداشته باشد؛ جدول عریض فقط در محدوده خودش اسکرول کند؛ تمرکز، خطا و کنترل‌های لمسی قابل استفاده باشند.</w:t>
      </w:r>
    </w:p>
    <w:p>
      <w:pPr>
        <w:jc w:val="start"/>
        <w:bidi/>
      </w:pPr>
      <w:r>
        <w:rPr>
          <w:b w:val="0"/>
          <w:color w:val="526773"/>
          <w:sz w:val="18"/>
        </w:rPr>
        <w:t>نکته اجرا: برای انتقال این اصل به گفتگو یا پروژه تازه، سند تحویل مبناست؛ حافظه دائمی خودکار بین پروژه‌ها فرض نمی‌شود.</w:t>
      </w:r>
    </w:p>
    <w:p>
      <w:pPr>
        <w:pStyle w:val="Heading2"/>
        <w:jc w:val="start"/>
        <w:bidi/>
      </w:pPr>
      <w:r>
        <w:rPr>
          <w:b w:val="0"/>
        </w:rPr>
        <w:t>۱۳. ورود Excel بانک و مغایرت‌گیری</w:t>
      </w:r>
    </w:p>
    <w:p>
      <w:pPr>
        <w:jc w:val="start"/>
        <w:bidi/>
      </w:pPr>
      <w:r>
        <w:rPr>
          <w:b w:val="0"/>
        </w:rPr>
        <w:t>فایل Excel بانک وارد و ستون‌ها به اطلاعات تراکنش نگاشت شوند. اقلام تطبیق‌یافته، باز و مبهم بین فایل بانک و حساب بانکی سامانه مشخص شوند. اقلام مبهم بدون تأیید کاربر قطعی نشوند.</w:t>
      </w:r>
    </w:p>
    <w:p>
      <w:pPr>
        <w:jc w:val="start"/>
        <w:bidi/>
      </w:pPr>
      <w:r>
        <w:rPr>
          <w:b w:val="0"/>
          <w:sz w:val="18"/>
        </w:rPr>
        <w:t>معیار پذیرش: پیش‌نمایش و خطاهای هر ردیف ارائه شود؛ ورود تکراری و تطبیق نادرست کنترل شود؛ موارد باز دو طرف قابل بررسی باشند؛ نتیجه قابل بازبینی بماند.</w:t>
      </w:r>
    </w:p>
    <w:p>
      <w:pPr>
        <w:jc w:val="start"/>
        <w:bidi/>
      </w:pPr>
      <w:r>
        <w:rPr>
          <w:b w:val="0"/>
          <w:color w:val="526773"/>
          <w:sz w:val="18"/>
        </w:rPr>
        <w:t>نکته اجرا: پیش از نهایی‌کردن قالب ورود و نصب این قابلیت، نمونه فایل خام و عنوان سرستون‌ها از کارفرما درخواست شود. قالب بانک حدس زده نشود.</w:t>
      </w:r>
    </w:p>
    <w:p>
      <w:pPr>
        <w:pStyle w:val="Heading2"/>
        <w:jc w:val="start"/>
        <w:bidi/>
      </w:pPr>
      <w:r>
        <w:rPr>
          <w:b w:val="0"/>
        </w:rPr>
        <w:t>۱۴. گردش و پیش‌بینی نقدینگی</w:t>
      </w:r>
    </w:p>
    <w:p>
      <w:pPr>
        <w:jc w:val="start"/>
        <w:bidi/>
      </w:pPr>
      <w:r>
        <w:rPr>
          <w:b w:val="0"/>
        </w:rPr>
        <w:t>گزارش به‌صورت جدول خوانا شامل تاریخ، شرح، دریافت، پرداخت و مانده ارائه شود. گردش واقعی از مقادیر پیش‌بینی‌شده قابل تشخیص باشد؛ چاپ و خروجی‌های مرتبط در دسترس باشند.</w:t>
      </w:r>
    </w:p>
    <w:p>
      <w:pPr>
        <w:jc w:val="start"/>
        <w:bidi/>
      </w:pPr>
      <w:r>
        <w:rPr>
          <w:b w:val="0"/>
          <w:sz w:val="18"/>
        </w:rPr>
        <w:t>معیار پذیرش: محاسبه مانده و بازه درست باشد؛ Excel، CSV و چاپ با فیلتر و ترتیب نمایش هماهنگ باشند؛ مبنای پیش‌بینی از رخداد واقعی جدا مشخص شود.</w:t>
      </w:r>
    </w:p>
    <w:p>
      <w:pPr>
        <w:jc w:val="start"/>
        <w:bidi/>
      </w:pPr>
      <w:r>
        <w:rPr>
          <w:b w:val="0"/>
          <w:color w:val="526773"/>
          <w:sz w:val="18"/>
        </w:rPr>
        <w:t>نکته اجرا: پیش‌بینی با تراکنش قطعی یا موجودی واقعی یکی معرفی نشود.</w:t>
      </w:r>
    </w:p>
    <w:p>
      <w:pPr>
        <w:pStyle w:val="Heading2"/>
        <w:jc w:val="start"/>
        <w:bidi/>
      </w:pPr>
      <w:r>
        <w:rPr>
          <w:b w:val="0"/>
        </w:rPr>
        <w:t>۱۵. بازه گزارش بدهکاران و بستانکاران</w:t>
      </w:r>
    </w:p>
    <w:p>
      <w:pPr>
        <w:jc w:val="start"/>
        <w:bidi/>
      </w:pPr>
      <w:r>
        <w:rPr>
          <w:b w:val="0"/>
        </w:rPr>
        <w:t>به‌جای فقط یک تاریخ، انتخاب از تاریخ/تا تاریخ وجود داشته باشد. مانده ابتدای دوره، گردش بدهکار، گردش بستانکار و مانده پایان دوره جدا نمایش داده شوند.</w:t>
      </w:r>
    </w:p>
    <w:p>
      <w:pPr>
        <w:jc w:val="start"/>
        <w:bidi/>
      </w:pPr>
      <w:r>
        <w:rPr>
          <w:b w:val="0"/>
          <w:sz w:val="18"/>
        </w:rPr>
        <w:t>معیار پذیرش: بازه معکوس رد شود؛ مانده افتتاحیه و گردش دوره در بازه انتخاب‌شده درست محاسبه شوند؛ خروجی و چاپ با فیلترها و مرتب‌سازی یکسان باشند.</w:t>
      </w:r>
    </w:p>
    <w:p>
      <w:pPr>
        <w:jc w:val="start"/>
        <w:bidi/>
      </w:pPr>
      <w:r>
        <w:rPr>
          <w:b w:val="0"/>
          <w:color w:val="526773"/>
          <w:sz w:val="18"/>
        </w:rPr>
        <w:t>نکته اجرا: تاریخ‌های نمایش شمسی باشند و تبدیل تاریخ با قرارداد موجود سامانه سازگار بماند.</w:t>
      </w:r>
    </w:p>
    <w:p>
      <w:r>
        <w:br w:type="page"/>
      </w:r>
    </w:p>
    <w:p>
      <w:pPr>
        <w:pStyle w:val="Heading1"/>
        <w:jc w:val="start"/>
        <w:bidi/>
      </w:pPr>
      <w:r>
        <w:rPr>
          <w:b w:val="0"/>
        </w:rPr>
        <w:t>۷. تکمیل اشتراک و قواعد اجرایی</w:t>
      </w:r>
    </w:p>
    <w:p>
      <w:pPr>
        <w:pStyle w:val="Heading2"/>
        <w:jc w:val="start"/>
        <w:bidi/>
      </w:pPr>
      <w:r>
        <w:rPr>
          <w:b w:val="0"/>
        </w:rPr>
        <w:t>معماری فروش و پرداخت</w:t>
      </w:r>
    </w:p>
    <w:p>
      <w:pPr>
        <w:jc w:val="start"/>
        <w:bidi/>
      </w:pPr>
      <w:r>
        <w:rPr>
          <w:b w:val="0"/>
        </w:rPr>
        <w:t>ووکامرس مسئول سفارش و پرداخت باشد؛ آگاه مسئول اشتراک، شرکت، ماژول‌ها و مجوز کاربران. زرین‌پال، زیبال و پرداخت در محل کنار هم باشند. در این فاز تمدید با پرداخت مجدد است؛ برداشت خودکار دوره‌ای تعهد این فاز نیست.</w:t>
      </w:r>
    </w:p>
    <w:p>
      <w:pPr>
        <w:jc w:val="start"/>
        <w:bidi/>
      </w:pPr>
      <w:r>
        <w:rPr>
          <w:b w:val="0"/>
          <w:color w:val="526773"/>
          <w:sz w:val="18"/>
        </w:rPr>
        <w:t>پذیرش: بازگشت تکراری درگاه اشتراک را دوباره فعال نکند؛ پرداخت ناموفق فعال‌سازی نسازد؛ تأیید پرداخت در محل با مجوز مدیر باشد؛ سفارش اشتراک از فاکتور شرکت مشتری جدا بماند.</w:t>
      </w:r>
    </w:p>
    <w:p>
      <w:pPr>
        <w:pStyle w:val="Heading2"/>
        <w:jc w:val="start"/>
        <w:bidi/>
      </w:pPr>
      <w:r>
        <w:rPr>
          <w:b w:val="0"/>
        </w:rPr>
        <w:t>طرح‌ها و جشنواره</w:t>
      </w:r>
    </w:p>
    <w:p>
      <w:pPr>
        <w:jc w:val="start"/>
        <w:bidi/>
      </w:pPr>
      <w:r>
        <w:rPr>
          <w:b w:val="0"/>
        </w:rPr>
        <w:t>سه طرح: تخصصی یک نوع حسابداری، ترکیبی همه ماژول‌های موجود، سازمانی نصب روی سرور خریدار. ماهانه تخصصی ۵۰۰هزار و ترکیبی ۱میلیون تومان؛ سالانه ۱۰٪ تخفیف و پرداخت یکجای ۵٫۴میلیون و ۱۰٫۸میلیون. اسناد/فاکتورها بدون سقف تعداد؛ هر اشتراک برای یک شرکت.</w:t>
      </w:r>
    </w:p>
    <w:p>
      <w:pPr>
        <w:jc w:val="start"/>
        <w:bidi/>
      </w:pPr>
      <w:r>
        <w:rPr>
          <w:b w:val="0"/>
          <w:color w:val="526773"/>
          <w:sz w:val="18"/>
        </w:rPr>
        <w:t>پذیرش: نخستین۱۰مشتری بر اساس پرداخت موفق شمارش شوند؛ ثبت‌نام یا درخواست ظرفیت را مصرف نکند؛ کنترل هم‌زمانی مانع فروش بیش از ظرفیت جشنواره شود؛ مبلغ و دوره در سرور تعیین شوند.</w:t>
      </w:r>
    </w:p>
    <w:p>
      <w:pPr>
        <w:pStyle w:val="Heading2"/>
        <w:jc w:val="start"/>
        <w:bidi/>
      </w:pPr>
      <w:r>
        <w:rPr>
          <w:b w:val="0"/>
        </w:rPr>
        <w:t>چرخه اعتبار و داده‌های مشتری</w:t>
      </w:r>
    </w:p>
    <w:p>
      <w:pPr>
        <w:jc w:val="start"/>
        <w:bidi/>
      </w:pPr>
      <w:r>
        <w:rPr>
          <w:b w:val="0"/>
        </w:rPr>
        <w:t>اعتبار، تمدید و ارتقای تخصصی به ترکیبی مدیریت شود؛ داده‌ها در ارتقا حفظ شوند. پس از پایان اعتبار، ثبت جدید محدود ولی مشاهده و خروجی مجاز کاربر حفظ شود. نرخ جشنواره برای دوره خریداری‌شده ثابت و تعرفه تمدید پیش از خرید بعدی اعلام شود.</w:t>
      </w:r>
    </w:p>
    <w:p>
      <w:pPr>
        <w:jc w:val="start"/>
        <w:bidi/>
      </w:pPr>
      <w:r>
        <w:rPr>
          <w:b w:val="0"/>
          <w:color w:val="526773"/>
          <w:sz w:val="18"/>
        </w:rPr>
        <w:t>پذیرش: تاریخ اعتبار و مجوز ماژول‌ها در سرور کنترل شوند؛ داده‌ای در انقضا حذف نشود؛ شرکت‌های قبلی هنگام ارتقای سامانه خودکار قفل نشوند؛ سیاست مهاجرت روشن و بازبینی شود.</w:t>
      </w:r>
    </w:p>
    <w:p>
      <w:pPr>
        <w:pStyle w:val="Heading2"/>
        <w:jc w:val="start"/>
        <w:bidi/>
      </w:pPr>
      <w:r>
        <w:rPr>
          <w:b w:val="0"/>
        </w:rPr>
        <w:t>تحویل و کنترل دامنه</w:t>
      </w:r>
    </w:p>
    <w:p>
      <w:pPr>
        <w:jc w:val="start"/>
        <w:bidi/>
      </w:pPr>
      <w:r>
        <w:rPr>
          <w:b w:val="0"/>
        </w:rPr>
        <w:t>تغییر خارج از توافق ابتدا مطرح شود. بعد از هر۳–۴بخش، قالب قابل نصب و گزارش انجام‌شده/مانده ارائه شود؛ بسته بررسی جدا و صریحاً غیرقابل نصب معرفی شود. تنظیمات متعارف از داشبورد انجام شوند و به کار روی هاست توسط کارفرما واگذار نشوند.</w:t>
      </w:r>
    </w:p>
    <w:p>
      <w:pPr>
        <w:jc w:val="start"/>
        <w:bidi/>
      </w:pPr>
      <w:r>
        <w:rPr>
          <w:b w:val="0"/>
          <w:color w:val="526773"/>
          <w:sz w:val="18"/>
        </w:rPr>
        <w:t>پذیرش: قالب روی وردپرس آزمایشی مستقل نصب و آزمون شود؛ لینک مستقیم دانلود و گزارش تحویل موجود باشد؛ کارکردهای حسابداری قبلی و داده‌های موجود حفظ شوند.</w:t>
      </w:r>
    </w:p>
    <w:p>
      <w:pPr>
        <w:pStyle w:val="Heading1"/>
        <w:jc w:val="start"/>
        <w:bidi/>
      </w:pPr>
      <w:r>
        <w:rPr>
          <w:b w:val="0"/>
        </w:rPr>
        <w:t>۸. اطلاعات لازم پیش از اتصال عملیاتی</w:t>
      </w:r>
    </w:p>
    <w:p>
      <w:pPr>
        <w:jc w:val="start"/>
        <w:bidi/>
      </w:pPr>
      <w:r>
        <w:rPr>
          <w:b w:val="0"/>
        </w:rPr>
        <w:t>• نمونه Excel خام بانک و نام سرستون‌ها باید پیش از نهایی‌کردن ورود اطلاعات و نصب قابلیت مغایرت‌گیری از کارفرما خواسته شود.</w:t>
      </w:r>
    </w:p>
    <w:p>
      <w:pPr>
        <w:jc w:val="start"/>
        <w:bidi/>
      </w:pPr>
      <w:r>
        <w:rPr>
          <w:b w:val="0"/>
        </w:rPr>
        <w:t>• مستندات API و شناسه‌های مورد نیاز پیامک، درگاه‌ها و مؤدیان و کدهای معتبر نماد/شامد باید فراهم شوند. نام کاربری، گذرواژه و کلید خصوصی در این سند و فایل جدول درج نمی‌شوند.</w:t>
      </w:r>
    </w:p>
    <w:p>
      <w:pPr>
        <w:jc w:val="start"/>
        <w:bidi/>
      </w:pPr>
      <w:r>
        <w:rPr>
          <w:b w:val="0"/>
        </w:rPr>
        <w:t>• سهمیه اولیه مجموع فضای پیوست باید با ظرفیت استقرار تعیین شود؛ اندازه پیش‌فرض هر فایل۵مگابایت است و مدیر می‌تواند آن را تغییر دهد.</w:t>
      </w:r>
    </w:p>
    <w:p>
      <w:pPr>
        <w:pStyle w:val="Heading1"/>
        <w:jc w:val="start"/>
        <w:bidi/>
      </w:pPr>
      <w:r>
        <w:rPr>
          <w:b w:val="0"/>
        </w:rPr>
        <w:t>۹. تحویل، آزمون و ادامه گفتگو</w:t>
      </w:r>
    </w:p>
    <w:p>
      <w:pPr>
        <w:jc w:val="start"/>
        <w:bidi/>
      </w:pPr>
      <w:r>
        <w:rPr>
          <w:b w:val="0"/>
        </w:rPr>
        <w:t>معیارهای مشترک: حفظ داده‌ها و محاسبات؛ مجوز و اعتبارسنجی در سرور؛ رابط منسجم و واکنش‌گرا؛ خطای واقعی؛ هماهنگی گزارش/خروجی/چاپ؛ ممیزی تغییرات حساس. آزمون روی محیط دورریختنی و نصب مستقل ZIP انجام شود.</w:t>
      </w:r>
    </w:p>
    <w:p>
      <w:pPr>
        <w:jc w:val="start"/>
        <w:bidi/>
      </w:pPr>
      <w:r>
        <w:rPr>
          <w:b w:val="0"/>
        </w:rPr>
        <w:t>این تحویل فقط سند و جدول تغییرات است؛ نرم‌افزار تغییر نکرده و افزونه نصب نشده است. تغییر خارج از توافق ابتدا با کارفرما مطرح شود. شروع خودکار در آینده یا کار پس‌زمینه با بسته‌بودن گفتگو فرض نشود.</w:t>
      </w:r>
    </w:p>
    <w:p>
      <w:pPr>
        <w:jc w:val="start"/>
        <w:bidi/>
      </w:pPr>
      <w:r>
        <w:rPr>
          <w:b w:val="0"/>
          <w:color w:val="526773"/>
          <w:sz w:val="18"/>
        </w:rPr>
        <w:t>مبنای ادامه: همین سند + جدول تغییرات + گزارش تحویل alpha12؛ بازخوانی کل تاریخچه لازم نیست. اصل اهمیت UI/UX برای پروژه‌های بعد نیز باید با همین سند منتقل شود.</w:t>
      </w:r>
    </w:p>
    <w:sectPr w:rsidR="00FC693F" w:rsidRPr="0006063C" w:rsidSect="00034616">
      <w:headerReference w:type="default" r:id="rId9"/>
      <w:footerReference w:type="default" r:id="rId10"/>
      <w:pgSz w:w="11906" w:h="16838"/>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start"/>
      <w:bidi/>
    </w:pPr>
    <w:r>
      <w:rPr>
        <w:sz w:val="16"/>
      </w:rPr>
      <w:t xml:space="preserve">نسخه سند ۱٫۰  •  ۵ آبان ۱۴۰۵  |  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pPr>
    <w:r>
      <w:rPr>
        <w:color w:val="526773"/>
        <w:sz w:val="16"/>
      </w:rPr>
      <w:t>حسابداری آگاه  |  سند توافق نهایی و مبنای اجرا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90" w:lineRule="exact"/>
    </w:pPr>
    <w:rPr>
      <w:rFonts w:ascii="Noto Sans Arabic" w:hAnsi="Noto Sans Arabic" w:cs="Noto Sans Arabic" w:eastAsia="Noto Sans Arabic"/>
      <w:sz w:val="21"/>
      <w:rtl/>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420" w:lineRule="exact"/>
      <w:outlineLvl w:val="0"/>
    </w:pPr>
    <w:rPr>
      <w:rFonts w:asciiTheme="majorHAnsi" w:eastAsiaTheme="majorEastAsia" w:hAnsiTheme="majorHAnsi" w:cstheme="majorBidi" w:ascii="Noto Sans Arabic" w:hAnsi="Noto Sans Arabic" w:cs="Noto Sans Arabic" w:eastAsia="Noto Sans Arabic"/>
      <w:b/>
      <w:bCs/>
      <w:color w:val="17394D"/>
      <w:sz w:val="30"/>
      <w:szCs w:val="28"/>
      <w:rtl/>
      <w:szCs w:val="30"/>
    </w:rPr>
  </w:style>
  <w:style w:type="paragraph" w:styleId="Heading2">
    <w:name w:val="heading 2"/>
    <w:basedOn w:val="Normal"/>
    <w:next w:val="Normal"/>
    <w:link w:val="Heading2Char"/>
    <w:uiPriority w:val="9"/>
    <w:unhideWhenUsed/>
    <w:qFormat/>
    <w:rsid w:val="00FC693F"/>
    <w:pPr>
      <w:keepNext/>
      <w:keepLines/>
      <w:spacing w:before="200" w:after="80" w:line="360" w:lineRule="exact"/>
      <w:outlineLvl w:val="1"/>
    </w:pPr>
    <w:rPr>
      <w:rFonts w:asciiTheme="majorHAnsi" w:eastAsiaTheme="majorEastAsia" w:hAnsiTheme="majorHAnsi" w:cstheme="majorBidi" w:ascii="Noto Sans Arabic" w:hAnsi="Noto Sans Arabic" w:cs="Noto Sans Arabic" w:eastAsia="Noto Sans Arabic"/>
      <w:b/>
      <w:bCs/>
      <w:color w:val="17394D"/>
      <w:sz w:val="24"/>
      <w:szCs w:val="26"/>
      <w:rtl/>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560" w:lineRule="exact"/>
      <w:contextualSpacing/>
    </w:pPr>
    <w:rPr>
      <w:rFonts w:asciiTheme="majorHAnsi" w:eastAsiaTheme="majorEastAsia" w:hAnsiTheme="majorHAnsi" w:cstheme="majorBidi" w:ascii="Noto Sans Arabic" w:hAnsi="Noto Sans Arabic" w:cs="Noto Sans Arabic" w:eastAsia="Noto Sans Arabic"/>
      <w:color w:val="17365D" w:themeColor="text2" w:themeShade="BF"/>
      <w:spacing w:val="5"/>
      <w:kern w:val="28"/>
      <w:sz w:val="46"/>
      <w:szCs w:val="52"/>
      <w:rtl/>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90" w:lineRule="exact"/>
    </w:pPr>
    <w:rPr>
      <w:rFonts w:asciiTheme="majorHAnsi" w:eastAsiaTheme="majorEastAsia" w:hAnsiTheme="majorHAnsi" w:cstheme="majorBidi" w:ascii="Noto Sans Arabic" w:hAnsi="Noto Sans Arabic" w:cs="Noto Sans Arabic" w:eastAsia="Noto Sans Arabic"/>
      <w:i/>
      <w:iCs/>
      <w:color w:val="4F81BD" w:themeColor="accent1"/>
      <w:spacing w:val="15"/>
      <w:sz w:val="22"/>
      <w:szCs w:val="24"/>
      <w:rtl/>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نهایی توافق‌ها و مشخصات تغییرات حسابداری آگاه</dc:title>
  <dc:subject>دامنه مصوب اصلاحات و زیرساخت فروش؛ مبنای ادامه پروژه</dc:subject>
  <dc:creator>حسابداری آگاه</dc:creator>
  <cp:keywords/>
  <dc:description>generated by python-docx</dc:description>
  <cp:lastModifiedBy>حسابداری آگاه</cp:lastModifiedBy>
  <cp:revision>1</cp:revision>
  <dcterms:created xsi:type="dcterms:W3CDTF">2026-10-27T00:00:00Z</dcterms:created>
  <dcterms:modified xsi:type="dcterms:W3CDTF">2026-10-27T00:00:00Z</dcterms:modified>
  <cp:category/>
</cp:coreProperties>
</file>