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5.11</w:t>
      </w:r>
    </w:p>
    <w:p>
      <w:pPr>
        <w:jc w:val="center"/>
      </w:pPr>
      <w:r>
        <w:rPr>
          <w:sz w:val="22"/>
        </w:rPr>
        <w:t xml:space="preserve">Иницииране на граждански договор с чужденци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1EbG6flQNeUMNQ22sKK4R_jwGnygN0CY3</w:t>
      </w:r>
    </w:p>
    <w:p>
      <w:pPr/>
      <w:r>
        <w:rPr>
          <w:i/>
          <w:sz w:val="16"/>
        </w:rPr>
        <w:t xml:space="preserve">Оригинален файл: 5.11-doklad-iniciirane-gr.dogovor-chujdenci.doc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