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5.11A</w:t>
      </w:r>
    </w:p>
    <w:p>
      <w:pPr>
        <w:jc w:val="center"/>
      </w:pPr>
      <w:r>
        <w:rPr>
          <w:sz w:val="22"/>
        </w:rPr>
        <w:t xml:space="preserve">Service agreement (BG–EN) — general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1may8f6AbBuAgXSJ3Cun4anDVObNIBxvr</w:t>
      </w:r>
    </w:p>
    <w:p>
      <w:pPr/>
      <w:r>
        <w:rPr>
          <w:i/>
          <w:sz w:val="16"/>
        </w:rPr>
        <w:t xml:space="preserve">Оригинален файл: 5.11A_BG_EN_Service agreement_general.doc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